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0525" w14:textId="3951E397" w:rsidR="00A716F5" w:rsidRPr="00B8359E" w:rsidRDefault="00B75C93" w:rsidP="00B75C93">
      <w:pPr>
        <w:spacing w:line="276" w:lineRule="auto"/>
        <w:jc w:val="center"/>
        <w:rPr>
          <w:b/>
          <w:bCs/>
          <w:sz w:val="24"/>
          <w:szCs w:val="24"/>
        </w:rPr>
      </w:pPr>
      <w:r w:rsidRPr="00B8359E">
        <w:rPr>
          <w:b/>
          <w:bCs/>
          <w:sz w:val="24"/>
          <w:szCs w:val="24"/>
        </w:rPr>
        <w:t>Gender Disaster &amp; Resilience: Towards a gender equal recovery</w:t>
      </w:r>
    </w:p>
    <w:p w14:paraId="700E7469" w14:textId="53D6D4CF" w:rsidR="00B75C93" w:rsidRPr="00B8359E" w:rsidRDefault="00556CBC" w:rsidP="00B75C93">
      <w:pPr>
        <w:spacing w:line="276" w:lineRule="auto"/>
        <w:jc w:val="center"/>
        <w:rPr>
          <w:b/>
          <w:bCs/>
          <w:sz w:val="24"/>
          <w:szCs w:val="24"/>
        </w:rPr>
      </w:pPr>
      <w:r w:rsidRPr="00B8359E">
        <w:rPr>
          <w:b/>
          <w:bCs/>
          <w:sz w:val="24"/>
          <w:szCs w:val="24"/>
        </w:rPr>
        <w:t xml:space="preserve">Factsheet:  </w:t>
      </w:r>
      <w:r w:rsidR="00B75C93" w:rsidRPr="00B8359E">
        <w:rPr>
          <w:b/>
          <w:bCs/>
          <w:sz w:val="24"/>
          <w:szCs w:val="24"/>
        </w:rPr>
        <w:t xml:space="preserve">Preventing violence </w:t>
      </w:r>
      <w:r w:rsidRPr="00B8359E">
        <w:rPr>
          <w:b/>
          <w:bCs/>
          <w:sz w:val="24"/>
          <w:szCs w:val="24"/>
        </w:rPr>
        <w:t xml:space="preserve">against women </w:t>
      </w:r>
    </w:p>
    <w:p w14:paraId="559AD057" w14:textId="3DBCEE1D" w:rsidR="00B75C93" w:rsidRPr="00B8359E" w:rsidRDefault="00B75C93" w:rsidP="00486651">
      <w:pPr>
        <w:spacing w:line="276" w:lineRule="auto"/>
      </w:pPr>
      <w:r w:rsidRPr="00B8359E">
        <w:t>W</w:t>
      </w:r>
      <w:r w:rsidR="15F802D9" w:rsidRPr="00B8359E">
        <w:t>hen communities experience natural disasters</w:t>
      </w:r>
      <w:r w:rsidRPr="00B8359E">
        <w:t xml:space="preserve"> – like </w:t>
      </w:r>
      <w:r w:rsidR="008874AE" w:rsidRPr="00B8359E">
        <w:t xml:space="preserve">a </w:t>
      </w:r>
      <w:r w:rsidRPr="00B8359E">
        <w:t xml:space="preserve">pandemic </w:t>
      </w:r>
      <w:r w:rsidR="008874AE" w:rsidRPr="00B8359E">
        <w:t>or b</w:t>
      </w:r>
      <w:r w:rsidRPr="00B8359E">
        <w:t xml:space="preserve">ushfire - </w:t>
      </w:r>
      <w:r w:rsidR="15F802D9" w:rsidRPr="00B8359E">
        <w:t xml:space="preserve">rates of family </w:t>
      </w:r>
      <w:r w:rsidR="00556CBC" w:rsidRPr="00B8359E">
        <w:t xml:space="preserve">and other forms of gendered </w:t>
      </w:r>
      <w:r w:rsidR="15F802D9" w:rsidRPr="00B8359E">
        <w:t xml:space="preserve">violence </w:t>
      </w:r>
      <w:r w:rsidR="758824D3" w:rsidRPr="00B8359E">
        <w:t xml:space="preserve">against women and children </w:t>
      </w:r>
      <w:r w:rsidR="4457E44D" w:rsidRPr="00B8359E">
        <w:t>rise</w:t>
      </w:r>
      <w:r w:rsidR="00281787" w:rsidRPr="00B8359E">
        <w:rPr>
          <w:rStyle w:val="FootnoteReference"/>
        </w:rPr>
        <w:footnoteReference w:id="1"/>
      </w:r>
      <w:r w:rsidR="15F802D9" w:rsidRPr="00B8359E">
        <w:t xml:space="preserve">. </w:t>
      </w:r>
    </w:p>
    <w:p w14:paraId="6721D8C8" w14:textId="298CE667" w:rsidR="00B75C93" w:rsidRPr="00B8359E" w:rsidRDefault="008874AE" w:rsidP="00B75C93">
      <w:pPr>
        <w:spacing w:line="276" w:lineRule="auto"/>
      </w:pPr>
      <w:r w:rsidRPr="00B8359E">
        <w:t>This is because it i</w:t>
      </w:r>
      <w:r w:rsidR="00B75C93" w:rsidRPr="00B8359E">
        <w:t>s common for men and women to revert to traditional gender roles during disaster</w:t>
      </w:r>
      <w:r w:rsidRPr="00B8359E">
        <w:t xml:space="preserve">, where men </w:t>
      </w:r>
      <w:r w:rsidR="00B75C93" w:rsidRPr="00B8359E">
        <w:t>are expected to be ‘tough’</w:t>
      </w:r>
      <w:r w:rsidRPr="00B8359E">
        <w:t xml:space="preserve">; the </w:t>
      </w:r>
      <w:r w:rsidR="00B75C93" w:rsidRPr="00B8359E">
        <w:t>providers and decision makers for their families.</w:t>
      </w:r>
      <w:r w:rsidR="00B75C93" w:rsidRPr="00B8359E">
        <w:rPr>
          <w:rStyle w:val="FootnoteReference"/>
        </w:rPr>
        <w:footnoteReference w:id="2"/>
      </w:r>
      <w:r w:rsidRPr="00B8359E">
        <w:t xml:space="preserve"> </w:t>
      </w:r>
      <w:r w:rsidR="00B75C93" w:rsidRPr="00B8359E">
        <w:t>Women are expected to be nurturing and act as caregivers. These rigid stereotypes can put women and children at risk of violence as women have less autonomy, and men may exercise control at home to fulfil societal expectations of themselves.</w:t>
      </w:r>
      <w:r w:rsidR="00B75C93" w:rsidRPr="00B8359E">
        <w:rPr>
          <w:rStyle w:val="FootnoteReference"/>
        </w:rPr>
        <w:footnoteReference w:id="3"/>
      </w:r>
    </w:p>
    <w:p w14:paraId="4A1BB13E" w14:textId="5B86806F" w:rsidR="008874AE" w:rsidRPr="00B8359E" w:rsidRDefault="00B75C93" w:rsidP="00B75C93">
      <w:pPr>
        <w:spacing w:line="276" w:lineRule="auto"/>
      </w:pPr>
      <w:r w:rsidRPr="00B8359E">
        <w:t xml:space="preserve">Gender </w:t>
      </w:r>
      <w:r w:rsidR="008874AE" w:rsidRPr="00B8359E">
        <w:t xml:space="preserve">inequality - </w:t>
      </w:r>
      <w:r w:rsidRPr="00B8359E">
        <w:t>entrenched attitudes</w:t>
      </w:r>
      <w:r w:rsidR="008874AE" w:rsidRPr="00B8359E">
        <w:t>, ideas</w:t>
      </w:r>
      <w:r w:rsidRPr="00B8359E">
        <w:t xml:space="preserve"> and behaviours</w:t>
      </w:r>
      <w:r w:rsidR="008874AE" w:rsidRPr="00B8359E">
        <w:t xml:space="preserve"> about </w:t>
      </w:r>
      <w:r w:rsidR="00A8311E" w:rsidRPr="00B8359E">
        <w:t xml:space="preserve">how we value </w:t>
      </w:r>
      <w:r w:rsidR="008874AE" w:rsidRPr="00B8359E">
        <w:t>men and women</w:t>
      </w:r>
      <w:r w:rsidR="00A8311E" w:rsidRPr="00B8359E">
        <w:t xml:space="preserve"> in our society</w:t>
      </w:r>
      <w:r w:rsidR="008874AE" w:rsidRPr="00B8359E">
        <w:t xml:space="preserve"> - </w:t>
      </w:r>
      <w:r w:rsidRPr="00B8359E">
        <w:t>shape the rigidity of gender stereotypes</w:t>
      </w:r>
      <w:r w:rsidR="00A8311E" w:rsidRPr="00B8359E">
        <w:t xml:space="preserve">. During disaster, these existing inequities worsen and </w:t>
      </w:r>
      <w:r w:rsidR="008874AE" w:rsidRPr="00B8359E">
        <w:t xml:space="preserve">drive family and other forms of gendered </w:t>
      </w:r>
      <w:r w:rsidRPr="00B8359E">
        <w:t xml:space="preserve">violence. </w:t>
      </w:r>
    </w:p>
    <w:p w14:paraId="129615A0" w14:textId="6C4B2463" w:rsidR="00B75C93" w:rsidRPr="00B8359E" w:rsidRDefault="008874AE" w:rsidP="00B75C93">
      <w:pPr>
        <w:spacing w:line="276" w:lineRule="auto"/>
      </w:pPr>
      <w:r w:rsidRPr="00B8359E">
        <w:t>O</w:t>
      </w:r>
      <w:r w:rsidR="00B75C93" w:rsidRPr="00B8359E">
        <w:t xml:space="preserve">ther factors </w:t>
      </w:r>
      <w:r w:rsidR="00A8311E" w:rsidRPr="00B8359E">
        <w:t xml:space="preserve">also contribute to an increased risk of </w:t>
      </w:r>
      <w:r w:rsidR="00B75C93" w:rsidRPr="00B8359E">
        <w:t>violence against women</w:t>
      </w:r>
      <w:r w:rsidR="00A8311E" w:rsidRPr="00B8359E">
        <w:t xml:space="preserve"> during disaster</w:t>
      </w:r>
      <w:r w:rsidR="00B75C93" w:rsidRPr="00B8359E">
        <w:t xml:space="preserve">. </w:t>
      </w:r>
      <w:r w:rsidRPr="00B8359E">
        <w:t>M</w:t>
      </w:r>
      <w:r w:rsidR="00B75C93" w:rsidRPr="00B8359E">
        <w:t xml:space="preserve">en </w:t>
      </w:r>
      <w:r w:rsidRPr="00B8359E">
        <w:t xml:space="preserve">are </w:t>
      </w:r>
      <w:r w:rsidR="00B75C93" w:rsidRPr="00B8359E">
        <w:t xml:space="preserve">experiencing financial stress due to unemployment, </w:t>
      </w:r>
      <w:r w:rsidRPr="00B8359E">
        <w:t xml:space="preserve">isolation and lack of access to friends and sporting activity. They’re at risk of </w:t>
      </w:r>
      <w:r w:rsidR="00B75C93" w:rsidRPr="00B8359E">
        <w:t xml:space="preserve">increased </w:t>
      </w:r>
      <w:r w:rsidR="00A8311E" w:rsidRPr="00B8359E">
        <w:t xml:space="preserve">substance </w:t>
      </w:r>
      <w:r w:rsidR="00B75C93" w:rsidRPr="00B8359E">
        <w:t>use</w:t>
      </w:r>
      <w:r w:rsidR="00A8311E" w:rsidRPr="00B8359E">
        <w:t xml:space="preserve"> and mental health problems</w:t>
      </w:r>
      <w:r w:rsidR="00B75C93" w:rsidRPr="00B8359E">
        <w:t>.</w:t>
      </w:r>
      <w:r w:rsidR="00B75C93" w:rsidRPr="00B8359E">
        <w:rPr>
          <w:rStyle w:val="FootnoteReference"/>
        </w:rPr>
        <w:footnoteReference w:id="4"/>
      </w:r>
      <w:r w:rsidR="00B75C93" w:rsidRPr="00B8359E">
        <w:t xml:space="preserve"> </w:t>
      </w:r>
      <w:r w:rsidRPr="00B8359E">
        <w:t xml:space="preserve">At the same time, </w:t>
      </w:r>
      <w:r w:rsidR="00B75C93" w:rsidRPr="00B8359E">
        <w:t xml:space="preserve">factors that might have been protective for women and children </w:t>
      </w:r>
      <w:r w:rsidRPr="00B8359E">
        <w:t xml:space="preserve">have also </w:t>
      </w:r>
      <w:r w:rsidR="00B75C93" w:rsidRPr="00B8359E">
        <w:t xml:space="preserve">reduced, such as access to friends and family, financial independence, and the ability to access confidential support. </w:t>
      </w:r>
    </w:p>
    <w:p w14:paraId="7029DEA7" w14:textId="784AA3B9" w:rsidR="006C75AD" w:rsidRPr="00B8359E" w:rsidRDefault="008874AE" w:rsidP="00BB2B8A">
      <w:pPr>
        <w:spacing w:line="276" w:lineRule="auto"/>
      </w:pPr>
      <w:r w:rsidRPr="00B8359E">
        <w:t>Compounding forms of disadvantage contribute to the inequalities in times of crisis. R</w:t>
      </w:r>
      <w:r w:rsidR="00815654" w:rsidRPr="00B8359E">
        <w:t>ates of violence against women with a disability, members of the LGBT</w:t>
      </w:r>
      <w:r w:rsidR="00611CF8" w:rsidRPr="00B8359E">
        <w:t>IQ</w:t>
      </w:r>
      <w:r w:rsidR="00815654" w:rsidRPr="00B8359E">
        <w:t xml:space="preserve"> community</w:t>
      </w:r>
      <w:r w:rsidR="00486651" w:rsidRPr="00B8359E">
        <w:t>, First Nations people</w:t>
      </w:r>
      <w:r w:rsidR="00A8311E" w:rsidRPr="00B8359E">
        <w:t>, migrant women from culturally and linguistically diverse backgrounds</w:t>
      </w:r>
      <w:r w:rsidR="00815654" w:rsidRPr="00B8359E">
        <w:t xml:space="preserve"> </w:t>
      </w:r>
      <w:r w:rsidR="00A8311E" w:rsidRPr="00B8359E">
        <w:t xml:space="preserve">are </w:t>
      </w:r>
      <w:r w:rsidR="00611CF8" w:rsidRPr="00B8359E">
        <w:t xml:space="preserve">much higher. </w:t>
      </w:r>
      <w:r w:rsidRPr="00B8359E">
        <w:t xml:space="preserve"> </w:t>
      </w:r>
      <w:r w:rsidR="00A8311E" w:rsidRPr="00B8359E">
        <w:t xml:space="preserve">Likewise, there are higher risks of </w:t>
      </w:r>
      <w:r w:rsidR="00DA0FAD" w:rsidRPr="00B8359E">
        <w:t xml:space="preserve">lost employment </w:t>
      </w:r>
      <w:r w:rsidR="00A8311E" w:rsidRPr="00B8359E">
        <w:t xml:space="preserve">and </w:t>
      </w:r>
      <w:r w:rsidR="00DA0FAD" w:rsidRPr="00B8359E">
        <w:t>risk of poverty</w:t>
      </w:r>
      <w:r w:rsidR="006C75AD" w:rsidRPr="00B8359E">
        <w:t xml:space="preserve">. </w:t>
      </w:r>
    </w:p>
    <w:p w14:paraId="770F04FA" w14:textId="3056DD32" w:rsidR="00B75C93" w:rsidRPr="00B8359E" w:rsidRDefault="00A8311E" w:rsidP="00A8311E">
      <w:pPr>
        <w:spacing w:line="276" w:lineRule="auto"/>
        <w:rPr>
          <w:b/>
          <w:bCs/>
        </w:rPr>
      </w:pPr>
      <w:r w:rsidRPr="00B8359E">
        <w:rPr>
          <w:b/>
          <w:bCs/>
        </w:rPr>
        <w:t>(insert infographic from MCWH on violence during pandemic</w:t>
      </w:r>
      <w:r w:rsidR="008B254D" w:rsidRPr="00B8359E">
        <w:rPr>
          <w:b/>
          <w:bCs/>
        </w:rPr>
        <w:t>)</w:t>
      </w:r>
    </w:p>
    <w:p w14:paraId="07972DD3" w14:textId="77777777" w:rsidR="00B75C93" w:rsidRPr="00B8359E" w:rsidRDefault="00B75C93" w:rsidP="00486651">
      <w:pPr>
        <w:spacing w:line="276" w:lineRule="auto"/>
        <w:rPr>
          <w:b/>
          <w:bCs/>
        </w:rPr>
      </w:pPr>
    </w:p>
    <w:p w14:paraId="4A49011F" w14:textId="77777777" w:rsidR="00A8311E" w:rsidRPr="00B8359E" w:rsidRDefault="00A8311E" w:rsidP="00A8311E">
      <w:r w:rsidRPr="00B8359E">
        <w:rPr>
          <w:b/>
          <w:bCs/>
        </w:rPr>
        <w:t>We need Gender Equity to be at the heart of our recovery</w:t>
      </w:r>
    </w:p>
    <w:p w14:paraId="6DBCEF6E" w14:textId="77777777" w:rsidR="00A8311E" w:rsidRPr="00B8359E" w:rsidRDefault="00A8311E" w:rsidP="00A8311E">
      <w:r w:rsidRPr="00B8359E">
        <w:t>When people of all genders and backgrounds have equal rights, responsibilities and opportunities everyone benefits- women, men, trans and gender diverse people, children and families.</w:t>
      </w:r>
      <w:r w:rsidRPr="00B8359E">
        <w:rPr>
          <w:rStyle w:val="FootnoteReference"/>
        </w:rPr>
        <w:t xml:space="preserve"> </w:t>
      </w:r>
      <w:r w:rsidRPr="00B8359E">
        <w:rPr>
          <w:rStyle w:val="FootnoteReference"/>
        </w:rPr>
        <w:footnoteReference w:id="5"/>
      </w:r>
    </w:p>
    <w:p w14:paraId="043A41C1" w14:textId="77777777" w:rsidR="00A8311E" w:rsidRPr="00B8359E" w:rsidRDefault="00A8311E" w:rsidP="00A8311E">
      <w:r w:rsidRPr="00B8359E">
        <w:t xml:space="preserve">Gender equality is a human right, but it is also essential for economic prosperity. Research from across the world has shown gender equity delivers greater productivity, higher profits and economic growth. It prevents violence against women and girls and diminishes corruption.  Societies that value women and men as equal are safer and healthier. </w:t>
      </w:r>
    </w:p>
    <w:p w14:paraId="49F94714" w14:textId="77777777" w:rsidR="00A8311E" w:rsidRPr="00B8359E" w:rsidRDefault="00A8311E" w:rsidP="00A8311E">
      <w:pPr>
        <w:rPr>
          <w:b/>
          <w:bCs/>
        </w:rPr>
      </w:pPr>
      <w:r w:rsidRPr="00B8359E">
        <w:lastRenderedPageBreak/>
        <w:t>Covid19 is an opportunity to rebuild our lives and economy with gender equality at the heart of everything we do. Recovery must lead to a more equal world.</w:t>
      </w:r>
      <w:r w:rsidRPr="00B8359E">
        <w:rPr>
          <w:rStyle w:val="FootnoteReference"/>
        </w:rPr>
        <w:footnoteReference w:id="6"/>
      </w:r>
      <w:r w:rsidRPr="00B8359E">
        <w:rPr>
          <w:b/>
          <w:bCs/>
        </w:rPr>
        <w:t xml:space="preserve"> </w:t>
      </w:r>
    </w:p>
    <w:p w14:paraId="3C5CBC37" w14:textId="3FD55582" w:rsidR="00F5194D" w:rsidRPr="00B8359E" w:rsidRDefault="00F5194D" w:rsidP="00F5194D">
      <w:pPr>
        <w:spacing w:line="276" w:lineRule="auto"/>
        <w:rPr>
          <w:b/>
          <w:bCs/>
        </w:rPr>
      </w:pPr>
      <w:r w:rsidRPr="00B8359E">
        <w:rPr>
          <w:b/>
          <w:bCs/>
        </w:rPr>
        <w:t>Recommendations</w:t>
      </w:r>
      <w:r w:rsidR="00A8311E" w:rsidRPr="00B8359E">
        <w:rPr>
          <w:b/>
          <w:bCs/>
        </w:rPr>
        <w:t xml:space="preserve"> for gender equal recovery and resilience </w:t>
      </w:r>
    </w:p>
    <w:p w14:paraId="2DCDF0FE" w14:textId="77777777" w:rsidR="00A8311E" w:rsidRPr="00B8359E" w:rsidRDefault="006C75AD" w:rsidP="00A8311E">
      <w:pPr>
        <w:spacing w:line="276" w:lineRule="auto"/>
      </w:pPr>
      <w:r w:rsidRPr="00B8359E">
        <w:t xml:space="preserve">Over the coming months we will be provided an opportunity to challenge societal norms </w:t>
      </w:r>
      <w:r w:rsidR="000C1827" w:rsidRPr="00B8359E">
        <w:t xml:space="preserve">and change the way that we respond to the gender divide in times of disaster. </w:t>
      </w:r>
    </w:p>
    <w:p w14:paraId="4C14EAEF" w14:textId="4F31A1AA" w:rsidR="00A8311E" w:rsidRPr="00B8359E" w:rsidRDefault="00A8311E" w:rsidP="00A8311E">
      <w:pPr>
        <w:pStyle w:val="ListParagraph"/>
        <w:numPr>
          <w:ilvl w:val="0"/>
          <w:numId w:val="7"/>
        </w:numPr>
        <w:spacing w:after="200" w:line="276" w:lineRule="auto"/>
        <w:rPr>
          <w:b/>
          <w:bCs/>
        </w:rPr>
      </w:pPr>
      <w:r w:rsidRPr="00B8359E">
        <w:rPr>
          <w:b/>
          <w:bCs/>
        </w:rPr>
        <w:t xml:space="preserve">Endorse the </w:t>
      </w:r>
      <w:proofErr w:type="spellStart"/>
      <w:r w:rsidRPr="00B8359E">
        <w:rPr>
          <w:b/>
          <w:bCs/>
        </w:rPr>
        <w:t>GenVic</w:t>
      </w:r>
      <w:proofErr w:type="spellEnd"/>
      <w:r w:rsidRPr="00B8359E">
        <w:rPr>
          <w:b/>
          <w:bCs/>
        </w:rPr>
        <w:t xml:space="preserve"> Joint Statement on Gender Equality and COVID 19</w:t>
      </w:r>
    </w:p>
    <w:p w14:paraId="5985BEA5" w14:textId="77777777" w:rsidR="00A8311E" w:rsidRPr="00B8359E" w:rsidRDefault="00A8311E" w:rsidP="00A8311E">
      <w:pPr>
        <w:ind w:left="720"/>
        <w:rPr>
          <w:i/>
          <w:iCs/>
        </w:rPr>
      </w:pPr>
      <w:r w:rsidRPr="00B8359E">
        <w:rPr>
          <w:i/>
          <w:iCs/>
        </w:rPr>
        <w:t>“Gender equal decision making is critical to achieving gender equality before, during and after disaster. Women, girls and gender diverse people must be seen, have their voices heard and their needs met.”</w:t>
      </w:r>
    </w:p>
    <w:p w14:paraId="67DC6264" w14:textId="77777777" w:rsidR="008B254D" w:rsidRPr="00B8359E" w:rsidRDefault="008B254D" w:rsidP="008B254D">
      <w:pPr>
        <w:pStyle w:val="ListParagraph"/>
        <w:numPr>
          <w:ilvl w:val="0"/>
          <w:numId w:val="6"/>
        </w:numPr>
        <w:spacing w:line="276" w:lineRule="auto"/>
      </w:pPr>
      <w:r w:rsidRPr="00B8359E">
        <w:rPr>
          <w:b/>
          <w:bCs/>
        </w:rPr>
        <w:t>Promote women in positions of power</w:t>
      </w:r>
      <w:r w:rsidRPr="00B8359E">
        <w:t xml:space="preserve"> to ensure decisions are made that reflect the experiences and issues of women</w:t>
      </w:r>
    </w:p>
    <w:p w14:paraId="18F43DB2" w14:textId="77777777" w:rsidR="008B254D" w:rsidRPr="00B8359E" w:rsidRDefault="00A8311E" w:rsidP="00A8311E">
      <w:pPr>
        <w:pStyle w:val="ListParagraph"/>
        <w:numPr>
          <w:ilvl w:val="0"/>
          <w:numId w:val="6"/>
        </w:numPr>
        <w:spacing w:line="276" w:lineRule="auto"/>
      </w:pPr>
      <w:r w:rsidRPr="00B8359E">
        <w:rPr>
          <w:b/>
          <w:bCs/>
        </w:rPr>
        <w:t>Challenge rigid gender roles</w:t>
      </w:r>
    </w:p>
    <w:p w14:paraId="66DE342E" w14:textId="34066FD7" w:rsidR="00A8311E" w:rsidRPr="00B8359E" w:rsidRDefault="00A8311E" w:rsidP="008B254D">
      <w:pPr>
        <w:pStyle w:val="ListParagraph"/>
        <w:numPr>
          <w:ilvl w:val="1"/>
          <w:numId w:val="6"/>
        </w:numPr>
        <w:spacing w:line="276" w:lineRule="auto"/>
      </w:pPr>
      <w:r w:rsidRPr="00B8359E">
        <w:t>encourag</w:t>
      </w:r>
      <w:r w:rsidR="008B254D" w:rsidRPr="00B8359E">
        <w:t>e</w:t>
      </w:r>
      <w:r w:rsidRPr="00B8359E">
        <w:t xml:space="preserve"> men to take on care work and schooling at home</w:t>
      </w:r>
    </w:p>
    <w:p w14:paraId="75FD4F23" w14:textId="56AE0874" w:rsidR="008B254D" w:rsidRPr="00B8359E" w:rsidRDefault="008B254D" w:rsidP="008B254D">
      <w:pPr>
        <w:pStyle w:val="ListParagraph"/>
        <w:numPr>
          <w:ilvl w:val="1"/>
          <w:numId w:val="6"/>
        </w:numPr>
        <w:spacing w:line="276" w:lineRule="auto"/>
      </w:pPr>
      <w:r w:rsidRPr="00B8359E">
        <w:t>demonstrate how men and women are equal and essential to economic recovery</w:t>
      </w:r>
    </w:p>
    <w:p w14:paraId="6D8727CC" w14:textId="77777777" w:rsidR="008B254D" w:rsidRPr="00B8359E" w:rsidRDefault="008B254D" w:rsidP="008B254D">
      <w:pPr>
        <w:pStyle w:val="ListParagraph"/>
        <w:numPr>
          <w:ilvl w:val="1"/>
          <w:numId w:val="6"/>
        </w:numPr>
        <w:spacing w:line="276" w:lineRule="auto"/>
      </w:pPr>
    </w:p>
    <w:p w14:paraId="7584B0A0" w14:textId="77777777" w:rsidR="00A8311E" w:rsidRPr="00B8359E" w:rsidRDefault="00A8311E" w:rsidP="00A8311E">
      <w:pPr>
        <w:pStyle w:val="ListParagraph"/>
        <w:numPr>
          <w:ilvl w:val="0"/>
          <w:numId w:val="6"/>
        </w:numPr>
        <w:spacing w:line="276" w:lineRule="auto"/>
      </w:pPr>
      <w:r w:rsidRPr="00B8359E">
        <w:rPr>
          <w:b/>
          <w:bCs/>
        </w:rPr>
        <w:t>Do not excuse aggressive attitudes</w:t>
      </w:r>
      <w:r w:rsidRPr="00B8359E">
        <w:t xml:space="preserve"> towards women as ‘stress’ during times of crisis</w:t>
      </w:r>
    </w:p>
    <w:p w14:paraId="7D1928FC" w14:textId="77777777" w:rsidR="00A8311E" w:rsidRPr="00B8359E" w:rsidRDefault="00A8311E" w:rsidP="00A8311E">
      <w:pPr>
        <w:pStyle w:val="ListParagraph"/>
        <w:numPr>
          <w:ilvl w:val="0"/>
          <w:numId w:val="6"/>
        </w:numPr>
        <w:spacing w:line="276" w:lineRule="auto"/>
      </w:pPr>
      <w:r w:rsidRPr="00B8359E">
        <w:rPr>
          <w:b/>
          <w:bCs/>
        </w:rPr>
        <w:t xml:space="preserve">Understand how some women are disproportionately affected </w:t>
      </w:r>
      <w:r w:rsidRPr="00B8359E">
        <w:t>– for example women on temporary visas will have even less financial independence, older women who have carers will be more at risk of isolation and exploitation</w:t>
      </w:r>
    </w:p>
    <w:p w14:paraId="09C3706D" w14:textId="3570D3FD" w:rsidR="000C1827" w:rsidRPr="00B8359E" w:rsidRDefault="000C1827" w:rsidP="000C1827">
      <w:pPr>
        <w:pStyle w:val="ListParagraph"/>
        <w:numPr>
          <w:ilvl w:val="0"/>
          <w:numId w:val="6"/>
        </w:numPr>
        <w:spacing w:line="276" w:lineRule="auto"/>
      </w:pPr>
      <w:r w:rsidRPr="00B8359E">
        <w:rPr>
          <w:b/>
          <w:bCs/>
        </w:rPr>
        <w:t xml:space="preserve">Fund Gender and Disaster Workers: </w:t>
      </w:r>
      <w:r w:rsidRPr="00B8359E">
        <w:t>we recognise that there is a lack of research in this country into the gendered impacts of disaster and how it links to violence against women</w:t>
      </w:r>
      <w:r w:rsidRPr="00B8359E">
        <w:rPr>
          <w:rStyle w:val="FootnoteReference"/>
        </w:rPr>
        <w:footnoteReference w:id="7"/>
      </w:r>
      <w:r w:rsidRPr="00B8359E">
        <w:t xml:space="preserve">. We ask that more funding be given to support the work of gender and disaster workers in metropolitan, rural, regional, and remote areas across the state, who can work within communities to deliver violence prevention initiatives. </w:t>
      </w:r>
    </w:p>
    <w:p w14:paraId="6F392DA0" w14:textId="77777777" w:rsidR="006602A1" w:rsidRPr="00B8359E" w:rsidRDefault="007A77B2" w:rsidP="000C1827">
      <w:pPr>
        <w:pStyle w:val="ListParagraph"/>
        <w:numPr>
          <w:ilvl w:val="0"/>
          <w:numId w:val="6"/>
        </w:numPr>
        <w:spacing w:line="276" w:lineRule="auto"/>
        <w:rPr>
          <w:b/>
          <w:bCs/>
        </w:rPr>
      </w:pPr>
      <w:r w:rsidRPr="00B8359E">
        <w:rPr>
          <w:b/>
          <w:bCs/>
        </w:rPr>
        <w:t xml:space="preserve">Boost family violence prevention and response activities to cope with an increased demand for support in the community: </w:t>
      </w:r>
      <w:r w:rsidRPr="00B8359E">
        <w:t xml:space="preserve">research shows that the pressure on families during and following a disaster is significantly increased due to rigid stereotypes and economic and financial crisis. As a result, we have seen an increase in the rates of family violence during the COVID-19 pandemic which have been further </w:t>
      </w:r>
      <w:r w:rsidR="00157353" w:rsidRPr="00B8359E">
        <w:t>exacerbated</w:t>
      </w:r>
      <w:r w:rsidRPr="00B8359E">
        <w:t xml:space="preserve"> by social isolation restrictions</w:t>
      </w:r>
      <w:r w:rsidR="00157353" w:rsidRPr="00B8359E">
        <w:t>.</w:t>
      </w:r>
    </w:p>
    <w:p w14:paraId="37B4B9C9" w14:textId="77777777" w:rsidR="00157353" w:rsidRPr="00B8359E" w:rsidRDefault="00BB2384" w:rsidP="00BB2384">
      <w:pPr>
        <w:pStyle w:val="ListParagraph"/>
        <w:numPr>
          <w:ilvl w:val="0"/>
          <w:numId w:val="6"/>
        </w:numPr>
        <w:spacing w:line="276" w:lineRule="auto"/>
        <w:rPr>
          <w:b/>
          <w:bCs/>
        </w:rPr>
      </w:pPr>
      <w:r w:rsidRPr="00B8359E">
        <w:rPr>
          <w:b/>
          <w:bCs/>
        </w:rPr>
        <w:t>Access to and protection of</w:t>
      </w:r>
      <w:r w:rsidR="000B6E71" w:rsidRPr="00B8359E">
        <w:rPr>
          <w:b/>
          <w:bCs/>
        </w:rPr>
        <w:t xml:space="preserve"> obstetric, gynaecological, sexual and reproductive health services from Covid</w:t>
      </w:r>
      <w:r w:rsidRPr="00B8359E">
        <w:rPr>
          <w:b/>
          <w:bCs/>
        </w:rPr>
        <w:t>-19</w:t>
      </w:r>
      <w:r w:rsidR="000B6E71" w:rsidRPr="00B8359E">
        <w:rPr>
          <w:b/>
          <w:bCs/>
        </w:rPr>
        <w:t xml:space="preserve">: </w:t>
      </w:r>
      <w:r w:rsidR="000B6E71" w:rsidRPr="00B8359E">
        <w:t>we recognise that women, girls and people with a uterus</w:t>
      </w:r>
      <w:r w:rsidRPr="00B8359E">
        <w:t xml:space="preserve"> need safe access to birthing and pre and </w:t>
      </w:r>
      <w:proofErr w:type="spellStart"/>
      <w:r w:rsidRPr="00B8359E">
        <w:t>post natal</w:t>
      </w:r>
      <w:proofErr w:type="spellEnd"/>
      <w:r w:rsidRPr="00B8359E">
        <w:t xml:space="preserve"> care, as well as to abortion services. We know that</w:t>
      </w:r>
      <w:r w:rsidRPr="00B8359E">
        <w:rPr>
          <w:b/>
          <w:bCs/>
        </w:rPr>
        <w:t xml:space="preserve"> </w:t>
      </w:r>
      <w:r w:rsidRPr="00B8359E">
        <w:t>there were higher rates of maternal and infant mortality during the Ebola pandemic as health services became stressed under the weight of the emergency response; and we also recognise that during times of uncertainty, many more women may choose not to remain pregnant.</w:t>
      </w:r>
      <w:r w:rsidR="00157353" w:rsidRPr="00B8359E">
        <w:t xml:space="preserve"> </w:t>
      </w:r>
    </w:p>
    <w:p w14:paraId="5A5AF698" w14:textId="77CF04E7" w:rsidR="00157353" w:rsidRPr="00B8359E" w:rsidRDefault="00157353" w:rsidP="002F3904">
      <w:pPr>
        <w:pStyle w:val="ListParagraph"/>
        <w:numPr>
          <w:ilvl w:val="0"/>
          <w:numId w:val="6"/>
        </w:numPr>
        <w:spacing w:line="276" w:lineRule="auto"/>
        <w:rPr>
          <w:b/>
          <w:bCs/>
        </w:rPr>
      </w:pPr>
      <w:r w:rsidRPr="00B8359E">
        <w:rPr>
          <w:b/>
          <w:bCs/>
        </w:rPr>
        <w:lastRenderedPageBreak/>
        <w:t xml:space="preserve">Commence gender-based planning for post-pandemic reboot of the Victorian economy: </w:t>
      </w:r>
      <w:r w:rsidRPr="00B8359E">
        <w:t xml:space="preserve">No one should be disadvantaged because of their gender, but disasters impact women, non-binary and gender-diverse people differently. </w:t>
      </w:r>
      <w:r w:rsidR="005B717A" w:rsidRPr="00B8359E">
        <w:t>We need to ensure that they are</w:t>
      </w:r>
      <w:r w:rsidRPr="00B8359E">
        <w:t xml:space="preserve"> at the centre of</w:t>
      </w:r>
      <w:r w:rsidR="006602A1" w:rsidRPr="00B8359E">
        <w:t xml:space="preserve"> economic </w:t>
      </w:r>
      <w:r w:rsidR="005B717A" w:rsidRPr="00B8359E">
        <w:t xml:space="preserve">recovery efforts </w:t>
      </w:r>
      <w:r w:rsidR="006602A1" w:rsidRPr="00B8359E">
        <w:t>following</w:t>
      </w:r>
      <w:r w:rsidR="005B717A" w:rsidRPr="00B8359E">
        <w:t xml:space="preserve"> COVID-19. </w:t>
      </w:r>
    </w:p>
    <w:p w14:paraId="32200A83" w14:textId="4C8B4606" w:rsidR="006C75AD" w:rsidRPr="00B8359E" w:rsidRDefault="006C75AD" w:rsidP="006C75AD">
      <w:pPr>
        <w:spacing w:line="276" w:lineRule="auto"/>
        <w:rPr>
          <w:b/>
          <w:bCs/>
        </w:rPr>
      </w:pPr>
      <w:r w:rsidRPr="00B8359E">
        <w:rPr>
          <w:b/>
          <w:bCs/>
        </w:rPr>
        <w:t>Organisations that can support your service:</w:t>
      </w:r>
    </w:p>
    <w:p w14:paraId="12400BD3"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safe steps 1800 015 188 </w:t>
      </w:r>
      <w:hyperlink r:id="rId8">
        <w:r w:rsidRPr="00B8359E">
          <w:rPr>
            <w:rStyle w:val="Hyperlink"/>
            <w:color w:val="auto"/>
          </w:rPr>
          <w:t>https://www.safesteps.org.au/</w:t>
        </w:r>
      </w:hyperlink>
      <w:r w:rsidRPr="00B8359E">
        <w:t xml:space="preserve"> </w:t>
      </w:r>
    </w:p>
    <w:p w14:paraId="3E125506"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1800RESEPCT </w:t>
      </w:r>
      <w:hyperlink r:id="rId9">
        <w:r w:rsidRPr="00B8359E">
          <w:rPr>
            <w:rStyle w:val="Hyperlink"/>
            <w:color w:val="auto"/>
          </w:rPr>
          <w:t>https://www.1800respect.org.au/</w:t>
        </w:r>
      </w:hyperlink>
      <w:r w:rsidRPr="00B8359E">
        <w:t xml:space="preserve"> </w:t>
      </w:r>
    </w:p>
    <w:p w14:paraId="6054A9EF"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Domestic Violence Victoria (DV Vic) (03) 9921 0828 </w:t>
      </w:r>
      <w:hyperlink r:id="rId10">
        <w:r w:rsidRPr="00B8359E">
          <w:rPr>
            <w:rStyle w:val="Hyperlink"/>
            <w:color w:val="auto"/>
          </w:rPr>
          <w:t>http://dvvic.org.au/</w:t>
        </w:r>
      </w:hyperlink>
      <w:r w:rsidRPr="00B8359E">
        <w:t xml:space="preserve"> </w:t>
      </w:r>
    </w:p>
    <w:p w14:paraId="2B081F1A"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Gender Equality Victoria (03) 9418 0921 </w:t>
      </w:r>
      <w:hyperlink r:id="rId11">
        <w:r w:rsidRPr="00B8359E">
          <w:rPr>
            <w:rStyle w:val="Hyperlink"/>
            <w:color w:val="auto"/>
          </w:rPr>
          <w:t>https://www.genvic.org.au/</w:t>
        </w:r>
      </w:hyperlink>
    </w:p>
    <w:p w14:paraId="719DE3C9"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No to Violence 1300 766 491 </w:t>
      </w:r>
      <w:hyperlink r:id="rId12">
        <w:r w:rsidRPr="00B8359E">
          <w:rPr>
            <w:rStyle w:val="Hyperlink"/>
            <w:color w:val="auto"/>
          </w:rPr>
          <w:t>https://www.ntv.org.au/</w:t>
        </w:r>
      </w:hyperlink>
      <w:r w:rsidRPr="00B8359E">
        <w:t xml:space="preserve"> </w:t>
      </w:r>
    </w:p>
    <w:p w14:paraId="513890D4" w14:textId="77777777" w:rsidR="006C75AD" w:rsidRPr="00B8359E" w:rsidRDefault="006C75AD" w:rsidP="006C75AD">
      <w:pPr>
        <w:pStyle w:val="ListParagraph"/>
        <w:numPr>
          <w:ilvl w:val="0"/>
          <w:numId w:val="2"/>
        </w:numPr>
        <w:spacing w:line="276" w:lineRule="auto"/>
        <w:rPr>
          <w:rFonts w:eastAsiaTheme="minorEastAsia"/>
        </w:rPr>
      </w:pPr>
      <w:r w:rsidRPr="00B8359E">
        <w:t xml:space="preserve">Our Watch </w:t>
      </w:r>
      <w:hyperlink r:id="rId13">
        <w:r w:rsidRPr="00B8359E">
          <w:rPr>
            <w:rStyle w:val="Hyperlink"/>
            <w:color w:val="auto"/>
          </w:rPr>
          <w:t>https://www.ourwatch.org.au/</w:t>
        </w:r>
      </w:hyperlink>
      <w:r w:rsidRPr="00B8359E">
        <w:t xml:space="preserve"> </w:t>
      </w:r>
    </w:p>
    <w:p w14:paraId="0218E3C5" w14:textId="77777777" w:rsidR="006C75AD" w:rsidRPr="00B8359E" w:rsidRDefault="006C75AD" w:rsidP="006C75AD">
      <w:pPr>
        <w:pStyle w:val="ListParagraph"/>
        <w:numPr>
          <w:ilvl w:val="0"/>
          <w:numId w:val="2"/>
        </w:numPr>
        <w:spacing w:line="276" w:lineRule="auto"/>
        <w:rPr>
          <w:rFonts w:eastAsiaTheme="minorEastAsia"/>
        </w:rPr>
      </w:pPr>
      <w:r w:rsidRPr="00B8359E">
        <w:rPr>
          <w:lang w:val="en-GB"/>
        </w:rPr>
        <w:t xml:space="preserve">Victorian Council of Social Services (03) 9235 1000 </w:t>
      </w:r>
      <w:hyperlink r:id="rId14">
        <w:r w:rsidRPr="00B8359E">
          <w:rPr>
            <w:rStyle w:val="Hyperlink"/>
            <w:color w:val="auto"/>
            <w:lang w:val="en-GB"/>
          </w:rPr>
          <w:t>https://vcoss.org.au/</w:t>
        </w:r>
      </w:hyperlink>
    </w:p>
    <w:p w14:paraId="3417708C" w14:textId="58938962" w:rsidR="10D60673" w:rsidRDefault="006C75AD" w:rsidP="00A04603">
      <w:pPr>
        <w:pStyle w:val="ListParagraph"/>
        <w:numPr>
          <w:ilvl w:val="0"/>
          <w:numId w:val="2"/>
        </w:numPr>
        <w:spacing w:line="276" w:lineRule="auto"/>
      </w:pPr>
      <w:r w:rsidRPr="00B8359E">
        <w:t xml:space="preserve">WIRE </w:t>
      </w:r>
      <w:hyperlink r:id="rId15">
        <w:r w:rsidRPr="00B8359E">
          <w:rPr>
            <w:rStyle w:val="Hyperlink"/>
            <w:color w:val="auto"/>
          </w:rPr>
          <w:t>https://www.wire.org.au/</w:t>
        </w:r>
      </w:hyperlink>
      <w:r w:rsidRPr="00B8359E">
        <w:t xml:space="preserve"> </w:t>
      </w:r>
    </w:p>
    <w:p w14:paraId="68D1598B" w14:textId="5D2C5953" w:rsidR="00B8359E" w:rsidRDefault="00B8359E" w:rsidP="00B8359E">
      <w:pPr>
        <w:spacing w:line="276" w:lineRule="auto"/>
      </w:pPr>
    </w:p>
    <w:p w14:paraId="0337AB7F" w14:textId="77777777" w:rsidR="00B8359E" w:rsidRPr="00876212" w:rsidRDefault="00B8359E" w:rsidP="00B8359E">
      <w:pPr>
        <w:rPr>
          <w:b/>
          <w:bCs/>
          <w:color w:val="000000" w:themeColor="text1"/>
        </w:rPr>
      </w:pPr>
      <w:bookmarkStart w:id="0" w:name="_Hlk43715427"/>
      <w:r w:rsidRPr="00876212">
        <w:rPr>
          <w:b/>
          <w:bCs/>
          <w:color w:val="000000" w:themeColor="text1"/>
        </w:rPr>
        <w:t xml:space="preserve">These fact sheets were made by the Victorian Women’s Health Services and Gender Equity Victoria (GEN VIC). Visit </w:t>
      </w:r>
      <w:hyperlink r:id="rId16" w:history="1">
        <w:r w:rsidRPr="00876212">
          <w:rPr>
            <w:rStyle w:val="Hyperlink"/>
            <w:b/>
            <w:bCs/>
            <w:color w:val="000000" w:themeColor="text1"/>
          </w:rPr>
          <w:t>www.genvic.org.au</w:t>
        </w:r>
      </w:hyperlink>
      <w:r w:rsidRPr="00876212">
        <w:rPr>
          <w:b/>
          <w:bCs/>
          <w:color w:val="000000" w:themeColor="text1"/>
        </w:rPr>
        <w:t>.</w:t>
      </w:r>
    </w:p>
    <w:bookmarkEnd w:id="0"/>
    <w:p w14:paraId="096BAF7B" w14:textId="77777777" w:rsidR="00B8359E" w:rsidRPr="00B8359E" w:rsidRDefault="00B8359E" w:rsidP="00B8359E">
      <w:pPr>
        <w:spacing w:line="276" w:lineRule="auto"/>
      </w:pPr>
    </w:p>
    <w:sectPr w:rsidR="00B8359E" w:rsidRPr="00B8359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9A8C" w14:textId="77777777" w:rsidR="00AC116D" w:rsidRDefault="00AC116D">
      <w:pPr>
        <w:spacing w:after="0" w:line="240" w:lineRule="auto"/>
      </w:pPr>
      <w:r>
        <w:separator/>
      </w:r>
    </w:p>
  </w:endnote>
  <w:endnote w:type="continuationSeparator" w:id="0">
    <w:p w14:paraId="38EA76F9" w14:textId="77777777" w:rsidR="00AC116D" w:rsidRDefault="00AC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604B" w14:textId="77777777" w:rsidR="00AC116D" w:rsidRDefault="00AC116D">
      <w:pPr>
        <w:spacing w:after="0" w:line="240" w:lineRule="auto"/>
      </w:pPr>
      <w:r>
        <w:separator/>
      </w:r>
    </w:p>
  </w:footnote>
  <w:footnote w:type="continuationSeparator" w:id="0">
    <w:p w14:paraId="646B85B9" w14:textId="77777777" w:rsidR="00AC116D" w:rsidRDefault="00AC116D">
      <w:pPr>
        <w:spacing w:after="0" w:line="240" w:lineRule="auto"/>
      </w:pPr>
      <w:r>
        <w:continuationSeparator/>
      </w:r>
    </w:p>
  </w:footnote>
  <w:footnote w:id="1">
    <w:p w14:paraId="55805920" w14:textId="0A22BFC8" w:rsidR="00281787" w:rsidRPr="00281787" w:rsidRDefault="00281787">
      <w:pPr>
        <w:pStyle w:val="FootnoteText"/>
        <w:rPr>
          <w:lang w:val="en-US"/>
        </w:rPr>
      </w:pPr>
      <w:r>
        <w:rPr>
          <w:rStyle w:val="FootnoteReference"/>
        </w:rPr>
        <w:footnoteRef/>
      </w:r>
      <w:r>
        <w:t xml:space="preserve"> </w:t>
      </w:r>
      <w:r w:rsidR="00B43447">
        <w:t xml:space="preserve">Gender and Disaster POD , </w:t>
      </w:r>
      <w:hyperlink r:id="rId1" w:history="1">
        <w:r w:rsidR="00B43447" w:rsidRPr="00B13DD5">
          <w:rPr>
            <w:rStyle w:val="Hyperlink"/>
          </w:rPr>
          <w:t>https://www.genderanddisaster.com.au/themes/family-violence-disaster/</w:t>
        </w:r>
      </w:hyperlink>
      <w:r w:rsidR="00B43447">
        <w:t xml:space="preserve"> </w:t>
      </w:r>
    </w:p>
  </w:footnote>
  <w:footnote w:id="2">
    <w:p w14:paraId="747449D4" w14:textId="77777777" w:rsidR="00B75C93" w:rsidRPr="00520BCC" w:rsidRDefault="00B75C93" w:rsidP="00B75C93">
      <w:pPr>
        <w:pStyle w:val="FootnoteText"/>
        <w:rPr>
          <w:lang w:val="en-US"/>
        </w:rPr>
      </w:pPr>
      <w:r>
        <w:rPr>
          <w:rStyle w:val="FootnoteReference"/>
        </w:rPr>
        <w:footnoteRef/>
      </w:r>
      <w:r>
        <w:t xml:space="preserve"> </w:t>
      </w:r>
      <w:r>
        <w:rPr>
          <w:lang w:val="en-US"/>
        </w:rPr>
        <w:t xml:space="preserve">Gender and Disaster POD, </w:t>
      </w:r>
      <w:hyperlink r:id="rId2" w:history="1">
        <w:r w:rsidRPr="00520BCC">
          <w:rPr>
            <w:rStyle w:val="Hyperlink"/>
            <w:lang w:val="en-US"/>
          </w:rPr>
          <w:t>Men and Disaster</w:t>
        </w:r>
      </w:hyperlink>
    </w:p>
  </w:footnote>
  <w:footnote w:id="3">
    <w:p w14:paraId="2C414C64" w14:textId="77777777" w:rsidR="00B75C93" w:rsidRPr="00520BCC" w:rsidRDefault="00B75C93" w:rsidP="00B75C93">
      <w:pPr>
        <w:pStyle w:val="FootnoteText"/>
        <w:rPr>
          <w:lang w:val="en-US"/>
        </w:rPr>
      </w:pPr>
      <w:r>
        <w:rPr>
          <w:rStyle w:val="FootnoteReference"/>
        </w:rPr>
        <w:footnoteRef/>
      </w:r>
      <w:r>
        <w:t xml:space="preserve"> </w:t>
      </w:r>
      <w:r>
        <w:rPr>
          <w:lang w:val="en-US"/>
        </w:rPr>
        <w:t xml:space="preserve">Gender and Disaster POD, </w:t>
      </w:r>
      <w:hyperlink r:id="rId3" w:history="1">
        <w:r w:rsidRPr="00520BCC">
          <w:rPr>
            <w:rStyle w:val="Hyperlink"/>
            <w:lang w:val="en-US"/>
          </w:rPr>
          <w:t>The Relevance of Gender in Disaster Risk</w:t>
        </w:r>
      </w:hyperlink>
      <w:r>
        <w:rPr>
          <w:lang w:val="en-US"/>
        </w:rPr>
        <w:t xml:space="preserve"> Snapshot</w:t>
      </w:r>
    </w:p>
  </w:footnote>
  <w:footnote w:id="4">
    <w:p w14:paraId="22C84610" w14:textId="77777777" w:rsidR="00B75C93" w:rsidRPr="00520BCC" w:rsidRDefault="00B75C93" w:rsidP="00B75C93">
      <w:pPr>
        <w:pStyle w:val="FootnoteText"/>
        <w:rPr>
          <w:lang w:val="en-US"/>
        </w:rPr>
      </w:pPr>
      <w:r>
        <w:rPr>
          <w:rStyle w:val="FootnoteReference"/>
        </w:rPr>
        <w:footnoteRef/>
      </w:r>
      <w:r>
        <w:t xml:space="preserve"> </w:t>
      </w:r>
      <w:r>
        <w:rPr>
          <w:lang w:val="en-US"/>
        </w:rPr>
        <w:t xml:space="preserve">Gender and Disaster POD, </w:t>
      </w:r>
      <w:hyperlink r:id="rId4" w:history="1">
        <w:r w:rsidRPr="00520BCC">
          <w:rPr>
            <w:rStyle w:val="Hyperlink"/>
            <w:lang w:val="en-US"/>
          </w:rPr>
          <w:t>Men and Disaster</w:t>
        </w:r>
      </w:hyperlink>
    </w:p>
  </w:footnote>
  <w:footnote w:id="5">
    <w:p w14:paraId="7B28AC6B" w14:textId="77777777" w:rsidR="00A8311E" w:rsidRDefault="00A8311E" w:rsidP="00A8311E">
      <w:pPr>
        <w:pStyle w:val="FootnoteText"/>
      </w:pPr>
      <w:r>
        <w:rPr>
          <w:rStyle w:val="FootnoteReference"/>
        </w:rPr>
        <w:footnoteRef/>
      </w:r>
      <w:r>
        <w:t xml:space="preserve"> See - </w:t>
      </w:r>
      <w:hyperlink r:id="rId5" w:history="1">
        <w:r>
          <w:rPr>
            <w:rStyle w:val="Hyperlink"/>
          </w:rPr>
          <w:t>https://www.vic.gov.au/gender-equality-what-it-and-why-do-we-need-it</w:t>
        </w:r>
      </w:hyperlink>
    </w:p>
  </w:footnote>
  <w:footnote w:id="6">
    <w:p w14:paraId="626B8320" w14:textId="77777777" w:rsidR="00A8311E" w:rsidRDefault="00A8311E" w:rsidP="00A8311E">
      <w:pPr>
        <w:spacing w:line="240" w:lineRule="auto"/>
      </w:pPr>
      <w:r>
        <w:rPr>
          <w:rStyle w:val="FootnoteReference"/>
        </w:rPr>
        <w:footnoteRef/>
      </w:r>
      <w:r>
        <w:t xml:space="preserve"> </w:t>
      </w:r>
      <w:r w:rsidRPr="00A10CFC">
        <w:rPr>
          <w:sz w:val="20"/>
          <w:szCs w:val="20"/>
        </w:rPr>
        <w:t xml:space="preserve">UN, April 2020, </w:t>
      </w:r>
      <w:r w:rsidRPr="00A10CFC">
        <w:rPr>
          <w:b/>
          <w:sz w:val="20"/>
          <w:szCs w:val="20"/>
        </w:rPr>
        <w:t>Policy brief: the impact of COVID 19 on women</w:t>
      </w:r>
      <w:r>
        <w:rPr>
          <w:b/>
          <w:sz w:val="20"/>
          <w:szCs w:val="20"/>
        </w:rPr>
        <w:t xml:space="preserve"> </w:t>
      </w:r>
      <w:hyperlink r:id="rId6" w:history="1">
        <w:r>
          <w:rPr>
            <w:rStyle w:val="Hyperlink"/>
            <w:sz w:val="20"/>
            <w:szCs w:val="20"/>
          </w:rPr>
          <w:t>https://www.unwomen.org/-/media/headquarters/attachments/sections/library/publications/2020/policy-brief-the-impact-of-covid-19-on-women-en.pdf?la=en&amp;vs=1406</w:t>
        </w:r>
      </w:hyperlink>
      <w:r>
        <w:rPr>
          <w:sz w:val="20"/>
          <w:szCs w:val="20"/>
        </w:rPr>
        <w:t xml:space="preserve"> </w:t>
      </w:r>
    </w:p>
  </w:footnote>
  <w:footnote w:id="7">
    <w:p w14:paraId="26D4DC2E" w14:textId="77777777" w:rsidR="000C1827" w:rsidRPr="000C1827" w:rsidRDefault="000C1827" w:rsidP="000C1827">
      <w:pPr>
        <w:pStyle w:val="FootnoteText"/>
        <w:rPr>
          <w:lang w:val="en-US"/>
        </w:rPr>
      </w:pPr>
      <w:r>
        <w:rPr>
          <w:rStyle w:val="FootnoteReference"/>
        </w:rPr>
        <w:footnoteRef/>
      </w:r>
      <w:r>
        <w:t xml:space="preserve"> </w:t>
      </w:r>
      <w:r>
        <w:rPr>
          <w:lang w:val="en-US"/>
        </w:rPr>
        <w:t xml:space="preserve">Gender and Disaster POD, </w:t>
      </w:r>
      <w:hyperlink r:id="rId7" w:history="1">
        <w:r w:rsidRPr="000C1827">
          <w:rPr>
            <w:rStyle w:val="Hyperlink"/>
            <w:lang w:val="en-US"/>
          </w:rPr>
          <w:t>Family Violence and Disaster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410D" w14:textId="64A0CE71" w:rsidR="00B8359E" w:rsidRDefault="00B8359E">
    <w:pPr>
      <w:pStyle w:val="Header"/>
    </w:pPr>
    <w:r>
      <w:rPr>
        <w:noProof/>
      </w:rPr>
      <w:drawing>
        <wp:inline distT="0" distB="0" distL="0" distR="0" wp14:anchorId="10E013A0" wp14:editId="7F5D9905">
          <wp:extent cx="851347"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91" cy="586703"/>
                  </a:xfrm>
                  <a:prstGeom prst="rect">
                    <a:avLst/>
                  </a:prstGeom>
                  <a:noFill/>
                  <a:ln>
                    <a:noFill/>
                  </a:ln>
                </pic:spPr>
              </pic:pic>
            </a:graphicData>
          </a:graphic>
        </wp:inline>
      </w:drawing>
    </w:r>
  </w:p>
  <w:p w14:paraId="081CA317" w14:textId="77777777" w:rsidR="00B8359E" w:rsidRDefault="00B83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A26A1"/>
    <w:multiLevelType w:val="hybridMultilevel"/>
    <w:tmpl w:val="DC9E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07EA3"/>
    <w:multiLevelType w:val="multilevel"/>
    <w:tmpl w:val="80862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428A8"/>
    <w:multiLevelType w:val="hybridMultilevel"/>
    <w:tmpl w:val="EAFA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51162"/>
    <w:multiLevelType w:val="hybridMultilevel"/>
    <w:tmpl w:val="01406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658A3"/>
    <w:multiLevelType w:val="hybridMultilevel"/>
    <w:tmpl w:val="78C47E5A"/>
    <w:lvl w:ilvl="0" w:tplc="C35656CE">
      <w:start w:val="1"/>
      <w:numFmt w:val="bullet"/>
      <w:lvlText w:val=""/>
      <w:lvlJc w:val="left"/>
      <w:pPr>
        <w:ind w:left="720" w:hanging="360"/>
      </w:pPr>
      <w:rPr>
        <w:rFonts w:ascii="Symbol" w:hAnsi="Symbol" w:hint="default"/>
      </w:rPr>
    </w:lvl>
    <w:lvl w:ilvl="1" w:tplc="7FF08D6C">
      <w:start w:val="1"/>
      <w:numFmt w:val="bullet"/>
      <w:lvlText w:val="o"/>
      <w:lvlJc w:val="left"/>
      <w:pPr>
        <w:ind w:left="1440" w:hanging="360"/>
      </w:pPr>
      <w:rPr>
        <w:rFonts w:ascii="Courier New" w:hAnsi="Courier New" w:hint="default"/>
      </w:rPr>
    </w:lvl>
    <w:lvl w:ilvl="2" w:tplc="FE92EFA2">
      <w:start w:val="1"/>
      <w:numFmt w:val="bullet"/>
      <w:lvlText w:val=""/>
      <w:lvlJc w:val="left"/>
      <w:pPr>
        <w:ind w:left="2160" w:hanging="360"/>
      </w:pPr>
      <w:rPr>
        <w:rFonts w:ascii="Wingdings" w:hAnsi="Wingdings" w:hint="default"/>
      </w:rPr>
    </w:lvl>
    <w:lvl w:ilvl="3" w:tplc="9D3698DE">
      <w:start w:val="1"/>
      <w:numFmt w:val="bullet"/>
      <w:lvlText w:val=""/>
      <w:lvlJc w:val="left"/>
      <w:pPr>
        <w:ind w:left="2880" w:hanging="360"/>
      </w:pPr>
      <w:rPr>
        <w:rFonts w:ascii="Symbol" w:hAnsi="Symbol" w:hint="default"/>
      </w:rPr>
    </w:lvl>
    <w:lvl w:ilvl="4" w:tplc="ECD8DAEE">
      <w:start w:val="1"/>
      <w:numFmt w:val="bullet"/>
      <w:lvlText w:val="o"/>
      <w:lvlJc w:val="left"/>
      <w:pPr>
        <w:ind w:left="3600" w:hanging="360"/>
      </w:pPr>
      <w:rPr>
        <w:rFonts w:ascii="Courier New" w:hAnsi="Courier New" w:hint="default"/>
      </w:rPr>
    </w:lvl>
    <w:lvl w:ilvl="5" w:tplc="68CE06D4">
      <w:start w:val="1"/>
      <w:numFmt w:val="bullet"/>
      <w:lvlText w:val=""/>
      <w:lvlJc w:val="left"/>
      <w:pPr>
        <w:ind w:left="4320" w:hanging="360"/>
      </w:pPr>
      <w:rPr>
        <w:rFonts w:ascii="Wingdings" w:hAnsi="Wingdings" w:hint="default"/>
      </w:rPr>
    </w:lvl>
    <w:lvl w:ilvl="6" w:tplc="35463218">
      <w:start w:val="1"/>
      <w:numFmt w:val="bullet"/>
      <w:lvlText w:val=""/>
      <w:lvlJc w:val="left"/>
      <w:pPr>
        <w:ind w:left="5040" w:hanging="360"/>
      </w:pPr>
      <w:rPr>
        <w:rFonts w:ascii="Symbol" w:hAnsi="Symbol" w:hint="default"/>
      </w:rPr>
    </w:lvl>
    <w:lvl w:ilvl="7" w:tplc="1BAACA7C">
      <w:start w:val="1"/>
      <w:numFmt w:val="bullet"/>
      <w:lvlText w:val="o"/>
      <w:lvlJc w:val="left"/>
      <w:pPr>
        <w:ind w:left="5760" w:hanging="360"/>
      </w:pPr>
      <w:rPr>
        <w:rFonts w:ascii="Courier New" w:hAnsi="Courier New" w:hint="default"/>
      </w:rPr>
    </w:lvl>
    <w:lvl w:ilvl="8" w:tplc="A7B2D848">
      <w:start w:val="1"/>
      <w:numFmt w:val="bullet"/>
      <w:lvlText w:val=""/>
      <w:lvlJc w:val="left"/>
      <w:pPr>
        <w:ind w:left="6480" w:hanging="360"/>
      </w:pPr>
      <w:rPr>
        <w:rFonts w:ascii="Wingdings" w:hAnsi="Wingdings" w:hint="default"/>
      </w:rPr>
    </w:lvl>
  </w:abstractNum>
  <w:abstractNum w:abstractNumId="5" w15:restartNumberingAfterBreak="0">
    <w:nsid w:val="5F97697F"/>
    <w:multiLevelType w:val="hybridMultilevel"/>
    <w:tmpl w:val="145A2622"/>
    <w:lvl w:ilvl="0" w:tplc="3DC28934">
      <w:start w:val="1"/>
      <w:numFmt w:val="bullet"/>
      <w:lvlText w:val=""/>
      <w:lvlJc w:val="left"/>
      <w:pPr>
        <w:ind w:left="720" w:hanging="360"/>
      </w:pPr>
      <w:rPr>
        <w:rFonts w:ascii="Symbol" w:hAnsi="Symbol" w:hint="default"/>
      </w:rPr>
    </w:lvl>
    <w:lvl w:ilvl="1" w:tplc="15A6D6F0">
      <w:start w:val="1"/>
      <w:numFmt w:val="bullet"/>
      <w:lvlText w:val="o"/>
      <w:lvlJc w:val="left"/>
      <w:pPr>
        <w:ind w:left="1440" w:hanging="360"/>
      </w:pPr>
      <w:rPr>
        <w:rFonts w:ascii="Courier New" w:hAnsi="Courier New" w:hint="default"/>
      </w:rPr>
    </w:lvl>
    <w:lvl w:ilvl="2" w:tplc="4D80AD1C">
      <w:start w:val="1"/>
      <w:numFmt w:val="bullet"/>
      <w:lvlText w:val=""/>
      <w:lvlJc w:val="left"/>
      <w:pPr>
        <w:ind w:left="2160" w:hanging="360"/>
      </w:pPr>
      <w:rPr>
        <w:rFonts w:ascii="Wingdings" w:hAnsi="Wingdings" w:hint="default"/>
      </w:rPr>
    </w:lvl>
    <w:lvl w:ilvl="3" w:tplc="77E65654">
      <w:start w:val="1"/>
      <w:numFmt w:val="bullet"/>
      <w:lvlText w:val=""/>
      <w:lvlJc w:val="left"/>
      <w:pPr>
        <w:ind w:left="2880" w:hanging="360"/>
      </w:pPr>
      <w:rPr>
        <w:rFonts w:ascii="Symbol" w:hAnsi="Symbol" w:hint="default"/>
      </w:rPr>
    </w:lvl>
    <w:lvl w:ilvl="4" w:tplc="5FE2B79C">
      <w:start w:val="1"/>
      <w:numFmt w:val="bullet"/>
      <w:lvlText w:val="o"/>
      <w:lvlJc w:val="left"/>
      <w:pPr>
        <w:ind w:left="3600" w:hanging="360"/>
      </w:pPr>
      <w:rPr>
        <w:rFonts w:ascii="Courier New" w:hAnsi="Courier New" w:hint="default"/>
      </w:rPr>
    </w:lvl>
    <w:lvl w:ilvl="5" w:tplc="715A0F22">
      <w:start w:val="1"/>
      <w:numFmt w:val="bullet"/>
      <w:lvlText w:val=""/>
      <w:lvlJc w:val="left"/>
      <w:pPr>
        <w:ind w:left="4320" w:hanging="360"/>
      </w:pPr>
      <w:rPr>
        <w:rFonts w:ascii="Wingdings" w:hAnsi="Wingdings" w:hint="default"/>
      </w:rPr>
    </w:lvl>
    <w:lvl w:ilvl="6" w:tplc="F1807BA6">
      <w:start w:val="1"/>
      <w:numFmt w:val="bullet"/>
      <w:lvlText w:val=""/>
      <w:lvlJc w:val="left"/>
      <w:pPr>
        <w:ind w:left="5040" w:hanging="360"/>
      </w:pPr>
      <w:rPr>
        <w:rFonts w:ascii="Symbol" w:hAnsi="Symbol" w:hint="default"/>
      </w:rPr>
    </w:lvl>
    <w:lvl w:ilvl="7" w:tplc="12FA8600">
      <w:start w:val="1"/>
      <w:numFmt w:val="bullet"/>
      <w:lvlText w:val="o"/>
      <w:lvlJc w:val="left"/>
      <w:pPr>
        <w:ind w:left="5760" w:hanging="360"/>
      </w:pPr>
      <w:rPr>
        <w:rFonts w:ascii="Courier New" w:hAnsi="Courier New" w:hint="default"/>
      </w:rPr>
    </w:lvl>
    <w:lvl w:ilvl="8" w:tplc="518617CE">
      <w:start w:val="1"/>
      <w:numFmt w:val="bullet"/>
      <w:lvlText w:val=""/>
      <w:lvlJc w:val="left"/>
      <w:pPr>
        <w:ind w:left="6480" w:hanging="360"/>
      </w:pPr>
      <w:rPr>
        <w:rFonts w:ascii="Wingdings" w:hAnsi="Wingdings" w:hint="default"/>
      </w:rPr>
    </w:lvl>
  </w:abstractNum>
  <w:abstractNum w:abstractNumId="6" w15:restartNumberingAfterBreak="0">
    <w:nsid w:val="686C4F12"/>
    <w:multiLevelType w:val="hybridMultilevel"/>
    <w:tmpl w:val="8334C672"/>
    <w:lvl w:ilvl="0" w:tplc="683C33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F5"/>
    <w:rsid w:val="00014355"/>
    <w:rsid w:val="00027C62"/>
    <w:rsid w:val="00030F23"/>
    <w:rsid w:val="000661D6"/>
    <w:rsid w:val="000B6E71"/>
    <w:rsid w:val="000C1827"/>
    <w:rsid w:val="000F7FEB"/>
    <w:rsid w:val="00120563"/>
    <w:rsid w:val="00142B82"/>
    <w:rsid w:val="00157353"/>
    <w:rsid w:val="00166720"/>
    <w:rsid w:val="00183C22"/>
    <w:rsid w:val="001977C3"/>
    <w:rsid w:val="001E55B3"/>
    <w:rsid w:val="001E7B2D"/>
    <w:rsid w:val="00223A3F"/>
    <w:rsid w:val="00281787"/>
    <w:rsid w:val="002F0D8D"/>
    <w:rsid w:val="00326483"/>
    <w:rsid w:val="003375AC"/>
    <w:rsid w:val="003417B4"/>
    <w:rsid w:val="00374BB6"/>
    <w:rsid w:val="00401DE9"/>
    <w:rsid w:val="00453A6F"/>
    <w:rsid w:val="00456013"/>
    <w:rsid w:val="00486651"/>
    <w:rsid w:val="004E307E"/>
    <w:rsid w:val="00500C63"/>
    <w:rsid w:val="005163F4"/>
    <w:rsid w:val="00520BCC"/>
    <w:rsid w:val="00556CBC"/>
    <w:rsid w:val="005B717A"/>
    <w:rsid w:val="00611CF8"/>
    <w:rsid w:val="00636EFD"/>
    <w:rsid w:val="006602A1"/>
    <w:rsid w:val="006A027A"/>
    <w:rsid w:val="006C75AD"/>
    <w:rsid w:val="0070710E"/>
    <w:rsid w:val="007224C3"/>
    <w:rsid w:val="00772BBF"/>
    <w:rsid w:val="007A77B2"/>
    <w:rsid w:val="007C7F93"/>
    <w:rsid w:val="00815654"/>
    <w:rsid w:val="008165C2"/>
    <w:rsid w:val="008874AE"/>
    <w:rsid w:val="008B254D"/>
    <w:rsid w:val="008B358A"/>
    <w:rsid w:val="008C4991"/>
    <w:rsid w:val="00972E49"/>
    <w:rsid w:val="00993ABA"/>
    <w:rsid w:val="00A43A92"/>
    <w:rsid w:val="00A5113B"/>
    <w:rsid w:val="00A53A59"/>
    <w:rsid w:val="00A716F5"/>
    <w:rsid w:val="00A8311E"/>
    <w:rsid w:val="00AC116D"/>
    <w:rsid w:val="00AD2047"/>
    <w:rsid w:val="00AD6BD8"/>
    <w:rsid w:val="00AF606A"/>
    <w:rsid w:val="00B43447"/>
    <w:rsid w:val="00B75C93"/>
    <w:rsid w:val="00B8359E"/>
    <w:rsid w:val="00BB2384"/>
    <w:rsid w:val="00BB2B8A"/>
    <w:rsid w:val="00BC227F"/>
    <w:rsid w:val="00BC2BEC"/>
    <w:rsid w:val="00C35B84"/>
    <w:rsid w:val="00CB413B"/>
    <w:rsid w:val="00CD49D9"/>
    <w:rsid w:val="00D03308"/>
    <w:rsid w:val="00D26BE8"/>
    <w:rsid w:val="00D36D38"/>
    <w:rsid w:val="00D4058C"/>
    <w:rsid w:val="00D55415"/>
    <w:rsid w:val="00D72BCA"/>
    <w:rsid w:val="00D91428"/>
    <w:rsid w:val="00D96794"/>
    <w:rsid w:val="00DA0FAD"/>
    <w:rsid w:val="00E0275D"/>
    <w:rsid w:val="00E62DD9"/>
    <w:rsid w:val="00E64D17"/>
    <w:rsid w:val="00E84508"/>
    <w:rsid w:val="00F02DC5"/>
    <w:rsid w:val="00F41FB0"/>
    <w:rsid w:val="00F5194D"/>
    <w:rsid w:val="00FA6ABA"/>
    <w:rsid w:val="029BDD83"/>
    <w:rsid w:val="02B5C56B"/>
    <w:rsid w:val="04285C39"/>
    <w:rsid w:val="04319E53"/>
    <w:rsid w:val="04572007"/>
    <w:rsid w:val="0486151A"/>
    <w:rsid w:val="04D04508"/>
    <w:rsid w:val="04D7BAAA"/>
    <w:rsid w:val="0549E171"/>
    <w:rsid w:val="0607B0B5"/>
    <w:rsid w:val="067DC424"/>
    <w:rsid w:val="070609EE"/>
    <w:rsid w:val="092FA00F"/>
    <w:rsid w:val="09CC895C"/>
    <w:rsid w:val="0A10694A"/>
    <w:rsid w:val="0A55D5F3"/>
    <w:rsid w:val="0AEDF83D"/>
    <w:rsid w:val="0B3046D6"/>
    <w:rsid w:val="0B532FD2"/>
    <w:rsid w:val="0B730CF1"/>
    <w:rsid w:val="0BE92A04"/>
    <w:rsid w:val="0C18057B"/>
    <w:rsid w:val="0C42D41C"/>
    <w:rsid w:val="0D9CC080"/>
    <w:rsid w:val="0DF8678C"/>
    <w:rsid w:val="0FD59109"/>
    <w:rsid w:val="107046FE"/>
    <w:rsid w:val="10B22F1D"/>
    <w:rsid w:val="10B3225D"/>
    <w:rsid w:val="10D60673"/>
    <w:rsid w:val="120B42C7"/>
    <w:rsid w:val="12DF1149"/>
    <w:rsid w:val="1319C7B5"/>
    <w:rsid w:val="134A6628"/>
    <w:rsid w:val="13D67C5B"/>
    <w:rsid w:val="14A979F1"/>
    <w:rsid w:val="15817BB9"/>
    <w:rsid w:val="15F802D9"/>
    <w:rsid w:val="165AE6DA"/>
    <w:rsid w:val="16E32A40"/>
    <w:rsid w:val="1788A852"/>
    <w:rsid w:val="17E11AB3"/>
    <w:rsid w:val="1821A439"/>
    <w:rsid w:val="195688A8"/>
    <w:rsid w:val="1973175E"/>
    <w:rsid w:val="1A8EA3A4"/>
    <w:rsid w:val="1A9B1F98"/>
    <w:rsid w:val="1B3F0074"/>
    <w:rsid w:val="1B834B7F"/>
    <w:rsid w:val="1DF804BD"/>
    <w:rsid w:val="1EF741CE"/>
    <w:rsid w:val="1FE0ED62"/>
    <w:rsid w:val="2059DE07"/>
    <w:rsid w:val="20988358"/>
    <w:rsid w:val="20D247A3"/>
    <w:rsid w:val="21A6AAD1"/>
    <w:rsid w:val="226218A0"/>
    <w:rsid w:val="226A8356"/>
    <w:rsid w:val="22A52447"/>
    <w:rsid w:val="233C239D"/>
    <w:rsid w:val="23F4496E"/>
    <w:rsid w:val="243DA199"/>
    <w:rsid w:val="24E452E4"/>
    <w:rsid w:val="24EA4774"/>
    <w:rsid w:val="254CBB30"/>
    <w:rsid w:val="264C466A"/>
    <w:rsid w:val="26683B8A"/>
    <w:rsid w:val="268B2C66"/>
    <w:rsid w:val="29480556"/>
    <w:rsid w:val="297A4499"/>
    <w:rsid w:val="29DAD34C"/>
    <w:rsid w:val="2A44C546"/>
    <w:rsid w:val="2AEF7D51"/>
    <w:rsid w:val="2B7E18A2"/>
    <w:rsid w:val="2EA9525C"/>
    <w:rsid w:val="304D9C84"/>
    <w:rsid w:val="318CEB6F"/>
    <w:rsid w:val="323AA501"/>
    <w:rsid w:val="33579E1B"/>
    <w:rsid w:val="33BE884C"/>
    <w:rsid w:val="34297358"/>
    <w:rsid w:val="34CC7AAF"/>
    <w:rsid w:val="34ED7954"/>
    <w:rsid w:val="3506E4D8"/>
    <w:rsid w:val="3535EC80"/>
    <w:rsid w:val="35B94F38"/>
    <w:rsid w:val="36892785"/>
    <w:rsid w:val="36C3A7A3"/>
    <w:rsid w:val="375176C2"/>
    <w:rsid w:val="399B5D26"/>
    <w:rsid w:val="3A26E13E"/>
    <w:rsid w:val="3A4E2FE1"/>
    <w:rsid w:val="3A6A3E7B"/>
    <w:rsid w:val="3AB6AF0C"/>
    <w:rsid w:val="3C44FF3F"/>
    <w:rsid w:val="3DDE759F"/>
    <w:rsid w:val="3E6BDA21"/>
    <w:rsid w:val="3E9EDA68"/>
    <w:rsid w:val="3FEF9200"/>
    <w:rsid w:val="40F77357"/>
    <w:rsid w:val="41105B0B"/>
    <w:rsid w:val="411D8E9C"/>
    <w:rsid w:val="4122F0CC"/>
    <w:rsid w:val="415C7C08"/>
    <w:rsid w:val="42A7FACD"/>
    <w:rsid w:val="43281A8E"/>
    <w:rsid w:val="437F8E63"/>
    <w:rsid w:val="44481A32"/>
    <w:rsid w:val="4457E44D"/>
    <w:rsid w:val="449986DE"/>
    <w:rsid w:val="455CC183"/>
    <w:rsid w:val="4598A7E2"/>
    <w:rsid w:val="45B9C50B"/>
    <w:rsid w:val="468F2E40"/>
    <w:rsid w:val="48524204"/>
    <w:rsid w:val="490182D5"/>
    <w:rsid w:val="4A5F7EAD"/>
    <w:rsid w:val="4BBC180A"/>
    <w:rsid w:val="4D8E2E5E"/>
    <w:rsid w:val="4FC2E318"/>
    <w:rsid w:val="500E2FE5"/>
    <w:rsid w:val="50810AF6"/>
    <w:rsid w:val="50986D0B"/>
    <w:rsid w:val="50ECFBE6"/>
    <w:rsid w:val="51920A89"/>
    <w:rsid w:val="539F8E9A"/>
    <w:rsid w:val="540D6F70"/>
    <w:rsid w:val="579BDA25"/>
    <w:rsid w:val="57C85995"/>
    <w:rsid w:val="57DF4CD1"/>
    <w:rsid w:val="57EF322A"/>
    <w:rsid w:val="5989728A"/>
    <w:rsid w:val="5A572A60"/>
    <w:rsid w:val="5BAE5151"/>
    <w:rsid w:val="5BDA27C9"/>
    <w:rsid w:val="5C0732C7"/>
    <w:rsid w:val="5C36C3D6"/>
    <w:rsid w:val="5CA09F82"/>
    <w:rsid w:val="5CC61638"/>
    <w:rsid w:val="5D4CBD95"/>
    <w:rsid w:val="5E7CD04B"/>
    <w:rsid w:val="5F31B86D"/>
    <w:rsid w:val="5FA95843"/>
    <w:rsid w:val="5FDECEED"/>
    <w:rsid w:val="5FF0D8C9"/>
    <w:rsid w:val="612AC77E"/>
    <w:rsid w:val="61FE9D58"/>
    <w:rsid w:val="62582246"/>
    <w:rsid w:val="62E8623D"/>
    <w:rsid w:val="63223C5B"/>
    <w:rsid w:val="6346637C"/>
    <w:rsid w:val="634A3F8E"/>
    <w:rsid w:val="63F303C1"/>
    <w:rsid w:val="6409B9EB"/>
    <w:rsid w:val="65228741"/>
    <w:rsid w:val="65425CC0"/>
    <w:rsid w:val="6555F3E2"/>
    <w:rsid w:val="65AD6740"/>
    <w:rsid w:val="661D2AAD"/>
    <w:rsid w:val="66CE54B8"/>
    <w:rsid w:val="674F5A6B"/>
    <w:rsid w:val="68C2E743"/>
    <w:rsid w:val="698AADDA"/>
    <w:rsid w:val="69CEEC8E"/>
    <w:rsid w:val="69D13A62"/>
    <w:rsid w:val="6B6DB437"/>
    <w:rsid w:val="6B6DBBF5"/>
    <w:rsid w:val="6C825D70"/>
    <w:rsid w:val="6CBFDBBE"/>
    <w:rsid w:val="6D4BB7D4"/>
    <w:rsid w:val="6EA096E2"/>
    <w:rsid w:val="6F7B0716"/>
    <w:rsid w:val="710B489D"/>
    <w:rsid w:val="71104E4E"/>
    <w:rsid w:val="72ACD34C"/>
    <w:rsid w:val="73032DA2"/>
    <w:rsid w:val="748A2B9A"/>
    <w:rsid w:val="751FE7B3"/>
    <w:rsid w:val="758824D3"/>
    <w:rsid w:val="75DFC90D"/>
    <w:rsid w:val="771220C6"/>
    <w:rsid w:val="779A7F6D"/>
    <w:rsid w:val="78000DEF"/>
    <w:rsid w:val="792D2A6B"/>
    <w:rsid w:val="7A13CFC9"/>
    <w:rsid w:val="7A342D8B"/>
    <w:rsid w:val="7ABA7398"/>
    <w:rsid w:val="7B7CFF09"/>
    <w:rsid w:val="7C07762A"/>
    <w:rsid w:val="7C9BD449"/>
    <w:rsid w:val="7D7DAFC8"/>
    <w:rsid w:val="7DBE1543"/>
    <w:rsid w:val="7E2C2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67DE"/>
  <w15:chartTrackingRefBased/>
  <w15:docId w15:val="{2D1CF3CC-E1A4-40E4-B5CC-EDB1410F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F5"/>
    <w:rPr>
      <w:rFonts w:ascii="Segoe UI" w:hAnsi="Segoe UI" w:cs="Segoe UI"/>
      <w:sz w:val="18"/>
      <w:szCs w:val="18"/>
    </w:rPr>
  </w:style>
  <w:style w:type="paragraph" w:styleId="ListParagraph">
    <w:name w:val="List Paragraph"/>
    <w:basedOn w:val="Normal"/>
    <w:uiPriority w:val="34"/>
    <w:qFormat/>
    <w:rsid w:val="000F7FEB"/>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20563"/>
    <w:rPr>
      <w:color w:val="605E5C"/>
      <w:shd w:val="clear" w:color="auto" w:fill="E1DFDD"/>
    </w:rPr>
  </w:style>
  <w:style w:type="paragraph" w:styleId="NormalWeb">
    <w:name w:val="Normal (Web)"/>
    <w:basedOn w:val="Normal"/>
    <w:uiPriority w:val="99"/>
    <w:semiHidden/>
    <w:unhideWhenUsed/>
    <w:rsid w:val="00520B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C7F93"/>
    <w:rPr>
      <w:b/>
      <w:bCs/>
    </w:rPr>
  </w:style>
  <w:style w:type="character" w:customStyle="1" w:styleId="CommentSubjectChar">
    <w:name w:val="Comment Subject Char"/>
    <w:basedOn w:val="CommentTextChar"/>
    <w:link w:val="CommentSubject"/>
    <w:uiPriority w:val="99"/>
    <w:semiHidden/>
    <w:rsid w:val="007C7F93"/>
    <w:rPr>
      <w:b/>
      <w:bCs/>
      <w:sz w:val="20"/>
      <w:szCs w:val="20"/>
    </w:rPr>
  </w:style>
  <w:style w:type="character" w:styleId="Strong">
    <w:name w:val="Strong"/>
    <w:basedOn w:val="DefaultParagraphFont"/>
    <w:uiPriority w:val="22"/>
    <w:qFormat/>
    <w:rsid w:val="00F5194D"/>
    <w:rPr>
      <w:b/>
      <w:bCs/>
    </w:rPr>
  </w:style>
  <w:style w:type="character" w:styleId="Emphasis">
    <w:name w:val="Emphasis"/>
    <w:basedOn w:val="DefaultParagraphFont"/>
    <w:uiPriority w:val="20"/>
    <w:qFormat/>
    <w:rsid w:val="00F5194D"/>
    <w:rPr>
      <w:i/>
      <w:iCs/>
    </w:rPr>
  </w:style>
  <w:style w:type="paragraph" w:styleId="Header">
    <w:name w:val="header"/>
    <w:basedOn w:val="Normal"/>
    <w:link w:val="HeaderChar"/>
    <w:uiPriority w:val="99"/>
    <w:unhideWhenUsed/>
    <w:rsid w:val="00B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9E"/>
  </w:style>
  <w:style w:type="paragraph" w:styleId="Footer">
    <w:name w:val="footer"/>
    <w:basedOn w:val="Normal"/>
    <w:link w:val="FooterChar"/>
    <w:uiPriority w:val="99"/>
    <w:unhideWhenUsed/>
    <w:rsid w:val="00B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4904">
      <w:bodyDiv w:val="1"/>
      <w:marLeft w:val="0"/>
      <w:marRight w:val="0"/>
      <w:marTop w:val="0"/>
      <w:marBottom w:val="0"/>
      <w:divBdr>
        <w:top w:val="none" w:sz="0" w:space="0" w:color="auto"/>
        <w:left w:val="none" w:sz="0" w:space="0" w:color="auto"/>
        <w:bottom w:val="none" w:sz="0" w:space="0" w:color="auto"/>
        <w:right w:val="none" w:sz="0" w:space="0" w:color="auto"/>
      </w:divBdr>
    </w:div>
    <w:div w:id="895967208">
      <w:bodyDiv w:val="1"/>
      <w:marLeft w:val="0"/>
      <w:marRight w:val="0"/>
      <w:marTop w:val="0"/>
      <w:marBottom w:val="0"/>
      <w:divBdr>
        <w:top w:val="none" w:sz="0" w:space="0" w:color="auto"/>
        <w:left w:val="none" w:sz="0" w:space="0" w:color="auto"/>
        <w:bottom w:val="none" w:sz="0" w:space="0" w:color="auto"/>
        <w:right w:val="none" w:sz="0" w:space="0" w:color="auto"/>
      </w:divBdr>
      <w:divsChild>
        <w:div w:id="535242312">
          <w:marLeft w:val="0"/>
          <w:marRight w:val="0"/>
          <w:marTop w:val="0"/>
          <w:marBottom w:val="0"/>
          <w:divBdr>
            <w:top w:val="none" w:sz="0" w:space="0" w:color="auto"/>
            <w:left w:val="none" w:sz="0" w:space="0" w:color="auto"/>
            <w:bottom w:val="none" w:sz="0" w:space="0" w:color="auto"/>
            <w:right w:val="none" w:sz="0" w:space="0" w:color="auto"/>
          </w:divBdr>
        </w:div>
      </w:divsChild>
    </w:div>
    <w:div w:id="1017736890">
      <w:bodyDiv w:val="1"/>
      <w:marLeft w:val="0"/>
      <w:marRight w:val="0"/>
      <w:marTop w:val="0"/>
      <w:marBottom w:val="0"/>
      <w:divBdr>
        <w:top w:val="none" w:sz="0" w:space="0" w:color="auto"/>
        <w:left w:val="none" w:sz="0" w:space="0" w:color="auto"/>
        <w:bottom w:val="none" w:sz="0" w:space="0" w:color="auto"/>
        <w:right w:val="none" w:sz="0" w:space="0" w:color="auto"/>
      </w:divBdr>
    </w:div>
    <w:div w:id="2033919905">
      <w:bodyDiv w:val="1"/>
      <w:marLeft w:val="0"/>
      <w:marRight w:val="0"/>
      <w:marTop w:val="0"/>
      <w:marBottom w:val="0"/>
      <w:divBdr>
        <w:top w:val="none" w:sz="0" w:space="0" w:color="auto"/>
        <w:left w:val="none" w:sz="0" w:space="0" w:color="auto"/>
        <w:bottom w:val="none" w:sz="0" w:space="0" w:color="auto"/>
        <w:right w:val="none" w:sz="0" w:space="0" w:color="auto"/>
      </w:divBdr>
    </w:div>
    <w:div w:id="20986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steps.org.au/" TargetMode="External"/><Relationship Id="rId13" Type="http://schemas.openxmlformats.org/officeDocument/2006/relationships/hyperlink" Target="https://www.ourwatch.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tv.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nvi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vic.org.au/" TargetMode="External"/><Relationship Id="rId5" Type="http://schemas.openxmlformats.org/officeDocument/2006/relationships/webSettings" Target="webSettings.xml"/><Relationship Id="rId15" Type="http://schemas.openxmlformats.org/officeDocument/2006/relationships/hyperlink" Target="https://www.wire.org.au/" TargetMode="External"/><Relationship Id="rId10" Type="http://schemas.openxmlformats.org/officeDocument/2006/relationships/hyperlink" Target="http://dvvi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800respect.org.au/" TargetMode="External"/><Relationship Id="rId14" Type="http://schemas.openxmlformats.org/officeDocument/2006/relationships/hyperlink" Target="https://v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nderanddisaster.com.au/wp-content/uploads/2015/06/Doc-029-Women-and-Disaster-Snapshot-2.pdf" TargetMode="External"/><Relationship Id="rId7" Type="http://schemas.openxmlformats.org/officeDocument/2006/relationships/hyperlink" Target="https://www.genderanddisaster.com.au/themes/family-violence-disaster/" TargetMode="External"/><Relationship Id="rId2" Type="http://schemas.openxmlformats.org/officeDocument/2006/relationships/hyperlink" Target="https://www.genderanddisaster.com.au/themes/men-disaster/" TargetMode="External"/><Relationship Id="rId1" Type="http://schemas.openxmlformats.org/officeDocument/2006/relationships/hyperlink" Target="https://www.genderanddisaster.com.au/themes/family-violence-disaster/" TargetMode="External"/><Relationship Id="rId6" Type="http://schemas.openxmlformats.org/officeDocument/2006/relationships/hyperlink" Target="https://www.unwomen.org/-/media/headquarters/attachments/sections/library/publications/2020/policy-brief-the-impact-of-covid-19-on-women-en.pdf?la=en&amp;vs=1406" TargetMode="External"/><Relationship Id="rId5" Type="http://schemas.openxmlformats.org/officeDocument/2006/relationships/hyperlink" Target="https://www.vic.gov.au/gender-equality-what-it-and-why-do-we-need-it" TargetMode="External"/><Relationship Id="rId4" Type="http://schemas.openxmlformats.org/officeDocument/2006/relationships/hyperlink" Target="https://www.genderanddisaster.com.au/themes/men-dis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9C81-77B7-4EC5-A1A1-91F192B3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Katie McKee</cp:lastModifiedBy>
  <cp:revision>2</cp:revision>
  <dcterms:created xsi:type="dcterms:W3CDTF">2020-06-22T01:31:00Z</dcterms:created>
  <dcterms:modified xsi:type="dcterms:W3CDTF">2020-06-22T01:31:00Z</dcterms:modified>
</cp:coreProperties>
</file>