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5906" w14:textId="7FE0F73E" w:rsidR="00A33888" w:rsidRPr="00876212" w:rsidRDefault="00A33888" w:rsidP="008911B4">
      <w:pPr>
        <w:tabs>
          <w:tab w:val="left" w:pos="2078"/>
        </w:tabs>
        <w:jc w:val="center"/>
        <w:rPr>
          <w:b/>
          <w:bCs/>
          <w:color w:val="000000" w:themeColor="text1"/>
          <w:sz w:val="24"/>
          <w:szCs w:val="24"/>
        </w:rPr>
      </w:pPr>
      <w:r w:rsidRPr="00876212">
        <w:rPr>
          <w:b/>
          <w:bCs/>
          <w:color w:val="000000" w:themeColor="text1"/>
          <w:sz w:val="24"/>
          <w:szCs w:val="24"/>
        </w:rPr>
        <w:t>Gender Disaster &amp; Resilience: Towards a gender equal recovery</w:t>
      </w:r>
    </w:p>
    <w:p w14:paraId="29B2A404" w14:textId="2A75504B" w:rsidR="003D192E" w:rsidRPr="00876212" w:rsidRDefault="00A33888" w:rsidP="008911B4">
      <w:pPr>
        <w:tabs>
          <w:tab w:val="left" w:pos="2078"/>
        </w:tabs>
        <w:jc w:val="center"/>
        <w:rPr>
          <w:b/>
          <w:bCs/>
          <w:color w:val="000000" w:themeColor="text1"/>
          <w:sz w:val="24"/>
          <w:szCs w:val="24"/>
        </w:rPr>
      </w:pPr>
      <w:r w:rsidRPr="00876212">
        <w:rPr>
          <w:b/>
          <w:bCs/>
          <w:color w:val="000000" w:themeColor="text1"/>
          <w:sz w:val="24"/>
          <w:szCs w:val="24"/>
        </w:rPr>
        <w:t xml:space="preserve">Factsheet:     </w:t>
      </w:r>
      <w:r w:rsidR="001D5E3C" w:rsidRPr="00876212">
        <w:rPr>
          <w:b/>
          <w:bCs/>
          <w:color w:val="000000" w:themeColor="text1"/>
          <w:sz w:val="24"/>
          <w:szCs w:val="24"/>
        </w:rPr>
        <w:t>ECONOMIC SECURITY</w:t>
      </w:r>
      <w:r w:rsidR="001749C0" w:rsidRPr="00876212">
        <w:rPr>
          <w:b/>
          <w:bCs/>
          <w:color w:val="000000" w:themeColor="text1"/>
          <w:sz w:val="24"/>
          <w:szCs w:val="24"/>
        </w:rPr>
        <w:t xml:space="preserve"> FOR WOMEN</w:t>
      </w:r>
    </w:p>
    <w:p w14:paraId="4A29BA58" w14:textId="3E4509B4" w:rsidR="00A33888" w:rsidRPr="00876212" w:rsidRDefault="00A33888" w:rsidP="00A33888">
      <w:pPr>
        <w:rPr>
          <w:color w:val="000000" w:themeColor="text1"/>
        </w:rPr>
      </w:pPr>
      <w:r w:rsidRPr="00876212">
        <w:rPr>
          <w:color w:val="000000" w:themeColor="text1"/>
        </w:rPr>
        <w:t xml:space="preserve">Disasters, such as pandemic, bushfire, drought and climate change embed inequalities and injustices that already exist within our society. </w:t>
      </w:r>
    </w:p>
    <w:p w14:paraId="1418C6E5" w14:textId="5EE51128" w:rsidR="00A33888" w:rsidRPr="00876212" w:rsidRDefault="00A33888" w:rsidP="00A33888">
      <w:pPr>
        <w:rPr>
          <w:color w:val="000000" w:themeColor="text1"/>
        </w:rPr>
      </w:pPr>
      <w:r w:rsidRPr="00876212">
        <w:rPr>
          <w:color w:val="000000" w:themeColor="text1"/>
        </w:rPr>
        <w:t xml:space="preserve">Prior to Covid19, Australia enjoyed relatively high incomes and economic growth, but prosperity was not shared evenly between men and women. Over the life course, </w:t>
      </w:r>
      <w:r w:rsidR="008911B4" w:rsidRPr="00876212">
        <w:rPr>
          <w:color w:val="000000" w:themeColor="text1"/>
        </w:rPr>
        <w:t xml:space="preserve">Australian </w:t>
      </w:r>
      <w:r w:rsidRPr="00876212">
        <w:rPr>
          <w:color w:val="000000" w:themeColor="text1"/>
        </w:rPr>
        <w:t>women lag behind men in jobs, incomes and superannuation balances. Th</w:t>
      </w:r>
      <w:r w:rsidR="008911B4" w:rsidRPr="00876212">
        <w:rPr>
          <w:color w:val="000000" w:themeColor="text1"/>
        </w:rPr>
        <w:t xml:space="preserve">e discrepancy </w:t>
      </w:r>
      <w:r w:rsidRPr="00876212">
        <w:rPr>
          <w:color w:val="000000" w:themeColor="text1"/>
        </w:rPr>
        <w:t>is largely</w:t>
      </w:r>
      <w:r w:rsidR="008911B4" w:rsidRPr="00876212">
        <w:rPr>
          <w:color w:val="000000" w:themeColor="text1"/>
        </w:rPr>
        <w:t xml:space="preserve"> due to gendered ideas abou</w:t>
      </w:r>
      <w:r w:rsidR="00333568" w:rsidRPr="00876212">
        <w:rPr>
          <w:color w:val="000000" w:themeColor="text1"/>
        </w:rPr>
        <w:t>t</w:t>
      </w:r>
      <w:r w:rsidR="008911B4" w:rsidRPr="00876212">
        <w:rPr>
          <w:color w:val="000000" w:themeColor="text1"/>
        </w:rPr>
        <w:t xml:space="preserve"> the </w:t>
      </w:r>
      <w:r w:rsidRPr="00876212">
        <w:rPr>
          <w:color w:val="000000" w:themeColor="text1"/>
        </w:rPr>
        <w:t>differ</w:t>
      </w:r>
      <w:r w:rsidR="008911B4" w:rsidRPr="00876212">
        <w:rPr>
          <w:color w:val="000000" w:themeColor="text1"/>
        </w:rPr>
        <w:t>ent value of men and women’s work. For example, w</w:t>
      </w:r>
      <w:r w:rsidRPr="00876212">
        <w:rPr>
          <w:color w:val="000000" w:themeColor="text1"/>
        </w:rPr>
        <w:t>omen undertak</w:t>
      </w:r>
      <w:r w:rsidR="008911B4" w:rsidRPr="00876212">
        <w:rPr>
          <w:color w:val="000000" w:themeColor="text1"/>
        </w:rPr>
        <w:t>e</w:t>
      </w:r>
      <w:r w:rsidRPr="00876212">
        <w:rPr>
          <w:color w:val="000000" w:themeColor="text1"/>
        </w:rPr>
        <w:t xml:space="preserve"> more than 70 per cent of the nation’s ‘invisible unpaid work’ in home and caring roles</w:t>
      </w:r>
      <w:r w:rsidR="008911B4" w:rsidRPr="00876212">
        <w:rPr>
          <w:color w:val="000000" w:themeColor="text1"/>
        </w:rPr>
        <w:t>, but for historic reasons the State’s gross domestic product doesn’t value this work – even though it</w:t>
      </w:r>
      <w:r w:rsidR="00333568" w:rsidRPr="00876212">
        <w:rPr>
          <w:color w:val="000000" w:themeColor="text1"/>
        </w:rPr>
        <w:t xml:space="preserve"> i</w:t>
      </w:r>
      <w:r w:rsidR="008911B4" w:rsidRPr="00876212">
        <w:rPr>
          <w:color w:val="000000" w:themeColor="text1"/>
        </w:rPr>
        <w:t>s estimated to be worth $208 Billion to the Victorian economy</w:t>
      </w:r>
      <w:r w:rsidRPr="00876212">
        <w:rPr>
          <w:color w:val="000000" w:themeColor="text1"/>
        </w:rPr>
        <w:t xml:space="preserve">. </w:t>
      </w:r>
    </w:p>
    <w:p w14:paraId="3E39401F" w14:textId="15FC0625" w:rsidR="00A33888" w:rsidRPr="00876212" w:rsidRDefault="00A33888" w:rsidP="00A33888">
      <w:pPr>
        <w:rPr>
          <w:rFonts w:cstheme="minorHAnsi"/>
          <w:color w:val="000000" w:themeColor="text1"/>
        </w:rPr>
      </w:pPr>
      <w:r w:rsidRPr="00876212">
        <w:rPr>
          <w:rFonts w:cstheme="minorHAnsi"/>
          <w:color w:val="000000" w:themeColor="text1"/>
        </w:rPr>
        <w:t xml:space="preserve">Australia has been going backwards on all indicators of economic security for women for some time, despite fragile gains for women in the workplace. The impact of COVID-19 on the economy risks rolling back female labor-force participation, limiting women’s ability to support themselves and their families, which is especially problematic in female-headed households. </w:t>
      </w:r>
      <w:r w:rsidRPr="00876212">
        <w:rPr>
          <w:color w:val="000000" w:themeColor="text1"/>
        </w:rPr>
        <w:t xml:space="preserve">Some women’s </w:t>
      </w:r>
      <w:r w:rsidRPr="00876212">
        <w:rPr>
          <w:rFonts w:cstheme="minorHAnsi"/>
          <w:color w:val="000000" w:themeColor="text1"/>
        </w:rPr>
        <w:t>lifetime earnings will never recover from the disruptions caused by COVID-19</w:t>
      </w:r>
      <w:r w:rsidR="00333568" w:rsidRPr="00876212">
        <w:rPr>
          <w:rFonts w:cstheme="minorHAnsi"/>
          <w:color w:val="000000" w:themeColor="text1"/>
        </w:rPr>
        <w:t xml:space="preserve">. </w:t>
      </w:r>
      <w:r w:rsidR="008911B4" w:rsidRPr="00876212">
        <w:rPr>
          <w:color w:val="000000" w:themeColor="text1"/>
        </w:rPr>
        <w:t>For women with overlapping experiences of race, class, disability and sexual identity</w:t>
      </w:r>
      <w:r w:rsidR="00333568" w:rsidRPr="00876212">
        <w:rPr>
          <w:color w:val="000000" w:themeColor="text1"/>
        </w:rPr>
        <w:t xml:space="preserve">, </w:t>
      </w:r>
      <w:r w:rsidR="008911B4" w:rsidRPr="00876212">
        <w:rPr>
          <w:color w:val="000000" w:themeColor="text1"/>
        </w:rPr>
        <w:t xml:space="preserve">unequal economic outcomes </w:t>
      </w:r>
      <w:r w:rsidR="00333568" w:rsidRPr="00876212">
        <w:rPr>
          <w:color w:val="000000" w:themeColor="text1"/>
        </w:rPr>
        <w:t xml:space="preserve">will </w:t>
      </w:r>
      <w:r w:rsidR="008911B4" w:rsidRPr="00876212">
        <w:rPr>
          <w:color w:val="000000" w:themeColor="text1"/>
        </w:rPr>
        <w:t>compou</w:t>
      </w:r>
      <w:r w:rsidR="00333568" w:rsidRPr="00876212">
        <w:rPr>
          <w:color w:val="000000" w:themeColor="text1"/>
        </w:rPr>
        <w:t>n</w:t>
      </w:r>
      <w:r w:rsidR="008911B4" w:rsidRPr="00876212">
        <w:rPr>
          <w:color w:val="000000" w:themeColor="text1"/>
        </w:rPr>
        <w:t>d</w:t>
      </w:r>
      <w:r w:rsidR="00333568" w:rsidRPr="00876212">
        <w:rPr>
          <w:color w:val="000000" w:themeColor="text1"/>
        </w:rPr>
        <w:t xml:space="preserve"> </w:t>
      </w:r>
      <w:r w:rsidR="004656D4" w:rsidRPr="00876212">
        <w:rPr>
          <w:color w:val="000000" w:themeColor="text1"/>
        </w:rPr>
        <w:t xml:space="preserve">leading to increased risk of </w:t>
      </w:r>
      <w:r w:rsidR="00333568" w:rsidRPr="00876212">
        <w:rPr>
          <w:color w:val="000000" w:themeColor="text1"/>
        </w:rPr>
        <w:t>poverty</w:t>
      </w:r>
      <w:r w:rsidR="004656D4" w:rsidRPr="00876212">
        <w:rPr>
          <w:color w:val="000000" w:themeColor="text1"/>
        </w:rPr>
        <w:t>.</w:t>
      </w:r>
    </w:p>
    <w:p w14:paraId="6892F8F3" w14:textId="05203416" w:rsidR="00A33888" w:rsidRPr="00876212" w:rsidRDefault="00A33888" w:rsidP="00A33888">
      <w:pPr>
        <w:rPr>
          <w:rFonts w:cstheme="minorHAnsi"/>
          <w:b/>
          <w:bCs/>
          <w:color w:val="000000" w:themeColor="text1"/>
        </w:rPr>
      </w:pPr>
      <w:r w:rsidRPr="00876212">
        <w:rPr>
          <w:b/>
          <w:bCs/>
          <w:color w:val="000000" w:themeColor="text1"/>
        </w:rPr>
        <w:t xml:space="preserve">Covid19 has had </w:t>
      </w:r>
      <w:r w:rsidR="008911B4" w:rsidRPr="00876212">
        <w:rPr>
          <w:b/>
          <w:bCs/>
          <w:color w:val="000000" w:themeColor="text1"/>
        </w:rPr>
        <w:t xml:space="preserve">a devastating </w:t>
      </w:r>
      <w:r w:rsidRPr="00876212">
        <w:rPr>
          <w:b/>
          <w:bCs/>
          <w:color w:val="000000" w:themeColor="text1"/>
        </w:rPr>
        <w:t>economic impact on women:</w:t>
      </w:r>
    </w:p>
    <w:p w14:paraId="2E7C0667" w14:textId="20BE0E09" w:rsidR="00412CB5" w:rsidRPr="00876212" w:rsidRDefault="00412CB5" w:rsidP="00301094">
      <w:pPr>
        <w:pStyle w:val="ListParagraph"/>
        <w:numPr>
          <w:ilvl w:val="0"/>
          <w:numId w:val="11"/>
        </w:numPr>
        <w:rPr>
          <w:rFonts w:cstheme="minorHAnsi"/>
          <w:color w:val="000000" w:themeColor="text1"/>
        </w:rPr>
      </w:pPr>
      <w:r w:rsidRPr="00876212">
        <w:rPr>
          <w:rFonts w:cstheme="minorHAnsi"/>
          <w:b/>
          <w:bCs/>
          <w:color w:val="000000" w:themeColor="text1"/>
        </w:rPr>
        <w:t>More women than men have become unemployed.</w:t>
      </w:r>
      <w:r w:rsidRPr="00876212">
        <w:rPr>
          <w:rFonts w:cstheme="minorHAnsi"/>
          <w:color w:val="000000" w:themeColor="text1"/>
        </w:rPr>
        <w:t xml:space="preserve"> Overrepresented in part-time and casual roles, and in low-paid sectors such as hospitality, tourism and the arts, 55% of people </w:t>
      </w:r>
      <w:r w:rsidR="008911B4" w:rsidRPr="00876212">
        <w:rPr>
          <w:rFonts w:cstheme="minorHAnsi"/>
          <w:color w:val="000000" w:themeColor="text1"/>
        </w:rPr>
        <w:t>i</w:t>
      </w:r>
      <w:r w:rsidRPr="00876212">
        <w:rPr>
          <w:rFonts w:cstheme="minorHAnsi"/>
          <w:color w:val="000000" w:themeColor="text1"/>
        </w:rPr>
        <w:t>n the unemployment line because of</w:t>
      </w:r>
      <w:r w:rsidR="008911B4" w:rsidRPr="00876212">
        <w:rPr>
          <w:rFonts w:cstheme="minorHAnsi"/>
          <w:color w:val="000000" w:themeColor="text1"/>
        </w:rPr>
        <w:t xml:space="preserve"> the</w:t>
      </w:r>
      <w:r w:rsidRPr="00876212">
        <w:rPr>
          <w:rFonts w:cstheme="minorHAnsi"/>
          <w:color w:val="000000" w:themeColor="text1"/>
        </w:rPr>
        <w:t xml:space="preserve"> pandemic are women. </w:t>
      </w:r>
    </w:p>
    <w:p w14:paraId="606EA6B6" w14:textId="77777777" w:rsidR="008911B4" w:rsidRPr="00876212" w:rsidRDefault="00301094" w:rsidP="008911B4">
      <w:pPr>
        <w:pStyle w:val="ListParagraph"/>
        <w:numPr>
          <w:ilvl w:val="0"/>
          <w:numId w:val="11"/>
        </w:numPr>
        <w:rPr>
          <w:rFonts w:cstheme="minorHAnsi"/>
          <w:color w:val="000000" w:themeColor="text1"/>
        </w:rPr>
      </w:pPr>
      <w:r w:rsidRPr="00876212">
        <w:rPr>
          <w:rFonts w:cstheme="minorHAnsi"/>
          <w:b/>
          <w:bCs/>
          <w:color w:val="000000" w:themeColor="text1"/>
        </w:rPr>
        <w:t xml:space="preserve">Casual </w:t>
      </w:r>
      <w:r w:rsidR="001245CB" w:rsidRPr="00876212">
        <w:rPr>
          <w:rFonts w:cstheme="minorHAnsi"/>
          <w:b/>
          <w:bCs/>
          <w:color w:val="000000" w:themeColor="text1"/>
        </w:rPr>
        <w:t xml:space="preserve">women </w:t>
      </w:r>
      <w:r w:rsidRPr="00876212">
        <w:rPr>
          <w:rFonts w:cstheme="minorHAnsi"/>
          <w:b/>
          <w:bCs/>
          <w:color w:val="000000" w:themeColor="text1"/>
        </w:rPr>
        <w:t xml:space="preserve">workers </w:t>
      </w:r>
      <w:r w:rsidR="001245CB" w:rsidRPr="00876212">
        <w:rPr>
          <w:rFonts w:cstheme="minorHAnsi"/>
          <w:b/>
          <w:bCs/>
          <w:color w:val="000000" w:themeColor="text1"/>
        </w:rPr>
        <w:t>are missing out on Job Keeper payments</w:t>
      </w:r>
      <w:r w:rsidR="001245CB" w:rsidRPr="00876212">
        <w:rPr>
          <w:rFonts w:cstheme="minorHAnsi"/>
          <w:color w:val="000000" w:themeColor="text1"/>
        </w:rPr>
        <w:t xml:space="preserve">. Most of the workers with less than </w:t>
      </w:r>
      <w:r w:rsidR="00412CB5" w:rsidRPr="00876212">
        <w:rPr>
          <w:rFonts w:cstheme="minorHAnsi"/>
          <w:color w:val="000000" w:themeColor="text1"/>
        </w:rPr>
        <w:t>12 months continuous employment are women</w:t>
      </w:r>
      <w:r w:rsidRPr="00876212">
        <w:rPr>
          <w:rFonts w:cstheme="minorHAnsi"/>
          <w:color w:val="000000" w:themeColor="text1"/>
        </w:rPr>
        <w:t xml:space="preserve"> </w:t>
      </w:r>
      <w:r w:rsidR="001245CB" w:rsidRPr="00876212">
        <w:rPr>
          <w:rFonts w:cstheme="minorHAnsi"/>
          <w:color w:val="000000" w:themeColor="text1"/>
        </w:rPr>
        <w:t xml:space="preserve">returning to work after child-raising. </w:t>
      </w:r>
      <w:r w:rsidR="00412CB5" w:rsidRPr="00876212">
        <w:rPr>
          <w:rFonts w:cstheme="minorHAnsi"/>
          <w:color w:val="000000" w:themeColor="text1"/>
        </w:rPr>
        <w:t xml:space="preserve">Without government </w:t>
      </w:r>
      <w:r w:rsidRPr="00876212">
        <w:rPr>
          <w:rFonts w:cstheme="minorHAnsi"/>
          <w:color w:val="000000" w:themeColor="text1"/>
        </w:rPr>
        <w:t xml:space="preserve">support, businesses </w:t>
      </w:r>
      <w:r w:rsidR="00412CB5" w:rsidRPr="00876212">
        <w:rPr>
          <w:rFonts w:cstheme="minorHAnsi"/>
          <w:color w:val="000000" w:themeColor="text1"/>
        </w:rPr>
        <w:t xml:space="preserve">relying on the casual </w:t>
      </w:r>
      <w:proofErr w:type="spellStart"/>
      <w:r w:rsidR="00412CB5" w:rsidRPr="00876212">
        <w:rPr>
          <w:rFonts w:cstheme="minorHAnsi"/>
          <w:color w:val="000000" w:themeColor="text1"/>
        </w:rPr>
        <w:t>labour</w:t>
      </w:r>
      <w:proofErr w:type="spellEnd"/>
      <w:r w:rsidR="00412CB5" w:rsidRPr="00876212">
        <w:rPr>
          <w:rFonts w:cstheme="minorHAnsi"/>
          <w:color w:val="000000" w:themeColor="text1"/>
        </w:rPr>
        <w:t xml:space="preserve"> of women are unlikely to </w:t>
      </w:r>
      <w:r w:rsidRPr="00876212">
        <w:rPr>
          <w:rFonts w:cstheme="minorHAnsi"/>
          <w:color w:val="000000" w:themeColor="text1"/>
        </w:rPr>
        <w:t>survive the pandemic</w:t>
      </w:r>
      <w:r w:rsidR="00412CB5" w:rsidRPr="00876212">
        <w:rPr>
          <w:rFonts w:cstheme="minorHAnsi"/>
          <w:color w:val="000000" w:themeColor="text1"/>
        </w:rPr>
        <w:t xml:space="preserve">, creating indefinite job loss. </w:t>
      </w:r>
    </w:p>
    <w:p w14:paraId="54337725" w14:textId="650A68B8" w:rsidR="00412CB5" w:rsidRPr="00876212" w:rsidRDefault="00412CB5" w:rsidP="008911B4">
      <w:pPr>
        <w:pStyle w:val="ListParagraph"/>
        <w:numPr>
          <w:ilvl w:val="0"/>
          <w:numId w:val="11"/>
        </w:numPr>
        <w:rPr>
          <w:rFonts w:cstheme="minorHAnsi"/>
          <w:color w:val="000000" w:themeColor="text1"/>
        </w:rPr>
      </w:pPr>
      <w:r w:rsidRPr="00876212">
        <w:rPr>
          <w:rFonts w:cstheme="minorHAnsi"/>
          <w:b/>
          <w:bCs/>
          <w:color w:val="000000" w:themeColor="text1"/>
        </w:rPr>
        <w:t xml:space="preserve">Women </w:t>
      </w:r>
      <w:r w:rsidR="001245CB" w:rsidRPr="00876212">
        <w:rPr>
          <w:rFonts w:cstheme="minorHAnsi"/>
          <w:b/>
          <w:bCs/>
          <w:color w:val="000000" w:themeColor="text1"/>
        </w:rPr>
        <w:t>are disproportionately represented on the frontline of the pandemic</w:t>
      </w:r>
      <w:r w:rsidR="001245CB" w:rsidRPr="00876212">
        <w:rPr>
          <w:rFonts w:cstheme="minorHAnsi"/>
          <w:color w:val="000000" w:themeColor="text1"/>
        </w:rPr>
        <w:t xml:space="preserve"> in </w:t>
      </w:r>
      <w:r w:rsidRPr="00876212">
        <w:rPr>
          <w:rFonts w:cstheme="minorHAnsi"/>
          <w:color w:val="000000" w:themeColor="text1"/>
        </w:rPr>
        <w:t>the health, aged and disability care, early childhood, education and food retailing industries</w:t>
      </w:r>
      <w:r w:rsidR="001245CB" w:rsidRPr="00876212">
        <w:rPr>
          <w:rFonts w:cstheme="minorHAnsi"/>
          <w:color w:val="000000" w:themeColor="text1"/>
        </w:rPr>
        <w:t xml:space="preserve">. Despite </w:t>
      </w:r>
      <w:r w:rsidR="008911B4" w:rsidRPr="00876212">
        <w:rPr>
          <w:rFonts w:cstheme="minorHAnsi"/>
          <w:color w:val="000000" w:themeColor="text1"/>
        </w:rPr>
        <w:t xml:space="preserve">keeping the country running in </w:t>
      </w:r>
      <w:r w:rsidR="001245CB" w:rsidRPr="00876212">
        <w:rPr>
          <w:rFonts w:cstheme="minorHAnsi"/>
          <w:color w:val="000000" w:themeColor="text1"/>
        </w:rPr>
        <w:t xml:space="preserve">essential service workforces, </w:t>
      </w:r>
      <w:r w:rsidR="008911B4" w:rsidRPr="00876212">
        <w:rPr>
          <w:rFonts w:cstheme="minorHAnsi"/>
          <w:color w:val="000000" w:themeColor="text1"/>
        </w:rPr>
        <w:t xml:space="preserve">women in </w:t>
      </w:r>
      <w:r w:rsidR="001245CB" w:rsidRPr="00876212">
        <w:rPr>
          <w:rFonts w:cstheme="minorHAnsi"/>
          <w:color w:val="000000" w:themeColor="text1"/>
        </w:rPr>
        <w:t xml:space="preserve">these </w:t>
      </w:r>
      <w:r w:rsidRPr="00876212">
        <w:rPr>
          <w:rFonts w:cstheme="minorHAnsi"/>
          <w:color w:val="000000" w:themeColor="text1"/>
        </w:rPr>
        <w:t xml:space="preserve">industries are </w:t>
      </w:r>
      <w:r w:rsidR="001245CB" w:rsidRPr="00876212">
        <w:rPr>
          <w:rFonts w:cstheme="minorHAnsi"/>
          <w:color w:val="000000" w:themeColor="text1"/>
        </w:rPr>
        <w:t xml:space="preserve">poorly paid </w:t>
      </w:r>
      <w:r w:rsidRPr="00876212">
        <w:rPr>
          <w:rFonts w:cstheme="minorHAnsi"/>
          <w:color w:val="000000" w:themeColor="text1"/>
        </w:rPr>
        <w:t xml:space="preserve">because of </w:t>
      </w:r>
      <w:r w:rsidR="001245CB" w:rsidRPr="00876212">
        <w:rPr>
          <w:rFonts w:cstheme="minorHAnsi"/>
          <w:color w:val="000000" w:themeColor="text1"/>
        </w:rPr>
        <w:t xml:space="preserve">gendered attitudes towards feminized work. </w:t>
      </w:r>
    </w:p>
    <w:p w14:paraId="3CC312F0" w14:textId="49FDDE19" w:rsidR="00412CB5" w:rsidRPr="00876212" w:rsidRDefault="00412CB5" w:rsidP="00A520FD">
      <w:pPr>
        <w:pStyle w:val="ListParagraph"/>
        <w:numPr>
          <w:ilvl w:val="0"/>
          <w:numId w:val="11"/>
        </w:numPr>
        <w:rPr>
          <w:rFonts w:cstheme="minorHAnsi"/>
          <w:color w:val="000000" w:themeColor="text1"/>
        </w:rPr>
      </w:pPr>
      <w:r w:rsidRPr="00876212">
        <w:rPr>
          <w:b/>
          <w:bCs/>
          <w:color w:val="000000" w:themeColor="text1"/>
        </w:rPr>
        <w:t xml:space="preserve">Women make up the </w:t>
      </w:r>
      <w:r w:rsidR="00301094" w:rsidRPr="00876212">
        <w:rPr>
          <w:b/>
          <w:bCs/>
          <w:color w:val="000000" w:themeColor="text1"/>
        </w:rPr>
        <w:t>majority of single-parent households</w:t>
      </w:r>
      <w:r w:rsidR="001245CB" w:rsidRPr="00876212">
        <w:rPr>
          <w:b/>
          <w:bCs/>
          <w:color w:val="000000" w:themeColor="text1"/>
        </w:rPr>
        <w:t xml:space="preserve"> where job loss is catastroph</w:t>
      </w:r>
      <w:r w:rsidR="004656D4" w:rsidRPr="00876212">
        <w:rPr>
          <w:b/>
          <w:bCs/>
          <w:color w:val="000000" w:themeColor="text1"/>
        </w:rPr>
        <w:t>ic</w:t>
      </w:r>
      <w:r w:rsidR="001245CB" w:rsidRPr="00876212">
        <w:rPr>
          <w:b/>
          <w:bCs/>
          <w:color w:val="000000" w:themeColor="text1"/>
        </w:rPr>
        <w:t>,</w:t>
      </w:r>
      <w:r w:rsidRPr="00876212">
        <w:rPr>
          <w:color w:val="000000" w:themeColor="text1"/>
        </w:rPr>
        <w:t xml:space="preserve"> thrusting women and children into poverty. </w:t>
      </w:r>
    </w:p>
    <w:p w14:paraId="43F8F712" w14:textId="0EFD6151" w:rsidR="00366E09" w:rsidRPr="00876212" w:rsidRDefault="00301094" w:rsidP="00366E09">
      <w:pPr>
        <w:pStyle w:val="ListParagraph"/>
        <w:numPr>
          <w:ilvl w:val="0"/>
          <w:numId w:val="11"/>
        </w:numPr>
        <w:rPr>
          <w:rFonts w:cstheme="minorHAnsi"/>
          <w:color w:val="000000" w:themeColor="text1"/>
        </w:rPr>
      </w:pPr>
      <w:r w:rsidRPr="00876212">
        <w:rPr>
          <w:rFonts w:cstheme="minorHAnsi"/>
          <w:b/>
          <w:bCs/>
          <w:color w:val="000000" w:themeColor="text1"/>
        </w:rPr>
        <w:t>Women</w:t>
      </w:r>
      <w:r w:rsidR="008911B4" w:rsidRPr="00876212">
        <w:rPr>
          <w:rFonts w:cstheme="minorHAnsi"/>
          <w:b/>
          <w:bCs/>
          <w:color w:val="000000" w:themeColor="text1"/>
        </w:rPr>
        <w:t xml:space="preserve"> are</w:t>
      </w:r>
      <w:r w:rsidRPr="00876212">
        <w:rPr>
          <w:rFonts w:cstheme="minorHAnsi"/>
          <w:b/>
          <w:bCs/>
          <w:color w:val="000000" w:themeColor="text1"/>
        </w:rPr>
        <w:t xml:space="preserve"> </w:t>
      </w:r>
      <w:r w:rsidR="001245CB" w:rsidRPr="00876212">
        <w:rPr>
          <w:rFonts w:cstheme="minorHAnsi"/>
          <w:b/>
          <w:bCs/>
          <w:color w:val="000000" w:themeColor="text1"/>
        </w:rPr>
        <w:t>perform</w:t>
      </w:r>
      <w:r w:rsidR="008911B4" w:rsidRPr="00876212">
        <w:rPr>
          <w:rFonts w:cstheme="minorHAnsi"/>
          <w:b/>
          <w:bCs/>
          <w:color w:val="000000" w:themeColor="text1"/>
        </w:rPr>
        <w:t>ing</w:t>
      </w:r>
      <w:r w:rsidR="001245CB" w:rsidRPr="00876212">
        <w:rPr>
          <w:rFonts w:cstheme="minorHAnsi"/>
          <w:b/>
          <w:bCs/>
          <w:color w:val="000000" w:themeColor="text1"/>
        </w:rPr>
        <w:t xml:space="preserve"> </w:t>
      </w:r>
      <w:r w:rsidRPr="00876212">
        <w:rPr>
          <w:rFonts w:cstheme="minorHAnsi"/>
          <w:b/>
          <w:bCs/>
          <w:color w:val="000000" w:themeColor="text1"/>
        </w:rPr>
        <w:t xml:space="preserve">more hours of unpaid </w:t>
      </w:r>
      <w:r w:rsidR="00273AED" w:rsidRPr="00876212">
        <w:rPr>
          <w:rFonts w:cstheme="minorHAnsi"/>
          <w:b/>
          <w:bCs/>
          <w:color w:val="000000" w:themeColor="text1"/>
        </w:rPr>
        <w:t>caregiving</w:t>
      </w:r>
      <w:r w:rsidRPr="00876212">
        <w:rPr>
          <w:rFonts w:cstheme="minorHAnsi"/>
          <w:b/>
          <w:bCs/>
          <w:color w:val="000000" w:themeColor="text1"/>
        </w:rPr>
        <w:t xml:space="preserve"> and household chores</w:t>
      </w:r>
      <w:r w:rsidRPr="00876212">
        <w:rPr>
          <w:rFonts w:cstheme="minorHAnsi"/>
          <w:color w:val="000000" w:themeColor="text1"/>
        </w:rPr>
        <w:t>, with</w:t>
      </w:r>
      <w:r w:rsidR="001245CB" w:rsidRPr="00876212">
        <w:rPr>
          <w:rFonts w:cstheme="minorHAnsi"/>
          <w:color w:val="000000" w:themeColor="text1"/>
        </w:rPr>
        <w:t xml:space="preserve"> no recognition and</w:t>
      </w:r>
      <w:r w:rsidRPr="00876212">
        <w:rPr>
          <w:rFonts w:cstheme="minorHAnsi"/>
          <w:color w:val="000000" w:themeColor="text1"/>
        </w:rPr>
        <w:t xml:space="preserve"> negative impact on their economic abilities. </w:t>
      </w:r>
      <w:r w:rsidR="00787B47" w:rsidRPr="00876212">
        <w:rPr>
          <w:rFonts w:cstheme="minorHAnsi"/>
          <w:color w:val="000000" w:themeColor="text1"/>
        </w:rPr>
        <w:t>Women spend an additional four months working per year on unpaid work</w:t>
      </w:r>
      <w:r w:rsidR="001245CB" w:rsidRPr="00876212">
        <w:rPr>
          <w:rFonts w:cstheme="minorHAnsi"/>
          <w:color w:val="000000" w:themeColor="text1"/>
        </w:rPr>
        <w:t xml:space="preserve">. </w:t>
      </w:r>
      <w:r w:rsidRPr="00876212">
        <w:rPr>
          <w:color w:val="000000" w:themeColor="text1"/>
        </w:rPr>
        <w:t xml:space="preserve">This “double shift” has </w:t>
      </w:r>
      <w:r w:rsidR="001245CB" w:rsidRPr="00876212">
        <w:rPr>
          <w:color w:val="000000" w:themeColor="text1"/>
        </w:rPr>
        <w:t xml:space="preserve">intensified in lockdown, with </w:t>
      </w:r>
      <w:r w:rsidRPr="00876212">
        <w:rPr>
          <w:color w:val="000000" w:themeColor="text1"/>
        </w:rPr>
        <w:t xml:space="preserve">the added burden of </w:t>
      </w:r>
      <w:r w:rsidR="001245CB" w:rsidRPr="00876212">
        <w:rPr>
          <w:color w:val="000000" w:themeColor="text1"/>
        </w:rPr>
        <w:t xml:space="preserve">education support during </w:t>
      </w:r>
      <w:r w:rsidRPr="00876212">
        <w:rPr>
          <w:color w:val="000000" w:themeColor="text1"/>
        </w:rPr>
        <w:t xml:space="preserve">school closures and the need to care for older relatives in lieu of support services. </w:t>
      </w:r>
    </w:p>
    <w:p w14:paraId="54B59AC2" w14:textId="0B21BEB1" w:rsidR="00366E09" w:rsidRPr="00876212" w:rsidRDefault="00366E09" w:rsidP="00366E09">
      <w:pPr>
        <w:rPr>
          <w:rFonts w:cstheme="minorHAnsi"/>
          <w:color w:val="000000" w:themeColor="text1"/>
        </w:rPr>
      </w:pPr>
    </w:p>
    <w:p w14:paraId="355A1D41" w14:textId="2A6E7DE8" w:rsidR="001245CB" w:rsidRPr="00876212" w:rsidRDefault="00835D0A" w:rsidP="001245CB">
      <w:pPr>
        <w:rPr>
          <w:b/>
          <w:bCs/>
          <w:color w:val="000000" w:themeColor="text1"/>
        </w:rPr>
      </w:pPr>
      <w:r w:rsidRPr="00876212">
        <w:rPr>
          <w:rFonts w:cstheme="minorHAnsi"/>
          <w:noProof/>
          <w:color w:val="000000" w:themeColor="text1"/>
        </w:rPr>
        <w:lastRenderedPageBreak/>
        <mc:AlternateContent>
          <mc:Choice Requires="wps">
            <w:drawing>
              <wp:anchor distT="45720" distB="45720" distL="114300" distR="114300" simplePos="0" relativeHeight="251659264" behindDoc="0" locked="0" layoutInCell="1" allowOverlap="1" wp14:anchorId="1F17FDBA" wp14:editId="65BCCEA6">
                <wp:simplePos x="0" y="0"/>
                <wp:positionH relativeFrom="margin">
                  <wp:posOffset>25400</wp:posOffset>
                </wp:positionH>
                <wp:positionV relativeFrom="paragraph">
                  <wp:posOffset>266065</wp:posOffset>
                </wp:positionV>
                <wp:extent cx="5915025" cy="131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14450"/>
                        </a:xfrm>
                        <a:prstGeom prst="rect">
                          <a:avLst/>
                        </a:prstGeom>
                        <a:solidFill>
                          <a:srgbClr val="FFFFFF"/>
                        </a:solidFill>
                        <a:ln w="9525">
                          <a:solidFill>
                            <a:srgbClr val="000000"/>
                          </a:solidFill>
                          <a:miter lim="800000"/>
                          <a:headEnd/>
                          <a:tailEnd/>
                        </a:ln>
                      </wps:spPr>
                      <wps:txbx>
                        <w:txbxContent>
                          <w:p w14:paraId="3D4DCDFD" w14:textId="77777777" w:rsidR="00366E09" w:rsidRPr="00366E09" w:rsidRDefault="00366E09" w:rsidP="00366E09">
                            <w:pPr>
                              <w:pStyle w:val="ListParagraph"/>
                              <w:numPr>
                                <w:ilvl w:val="0"/>
                                <w:numId w:val="14"/>
                              </w:numPr>
                            </w:pPr>
                            <w:r>
                              <w:rPr>
                                <w:lang w:val="en-AU"/>
                              </w:rPr>
                              <w:t xml:space="preserve">Women’s unemployment has jumped </w:t>
                            </w:r>
                            <w:r w:rsidRPr="00366E09">
                              <w:rPr>
                                <w:b/>
                                <w:bCs/>
                                <w:lang w:val="en-AU"/>
                              </w:rPr>
                              <w:t>five-fold</w:t>
                            </w:r>
                            <w:r>
                              <w:rPr>
                                <w:lang w:val="en-AU"/>
                              </w:rPr>
                              <w:t xml:space="preserve"> since the crisis.</w:t>
                            </w:r>
                          </w:p>
                          <w:p w14:paraId="35E96620" w14:textId="6CE434A8" w:rsidR="00366E09" w:rsidRPr="00366E09" w:rsidRDefault="00366E09" w:rsidP="00366E09">
                            <w:pPr>
                              <w:pStyle w:val="ListParagraph"/>
                              <w:numPr>
                                <w:ilvl w:val="0"/>
                                <w:numId w:val="14"/>
                              </w:numPr>
                            </w:pPr>
                            <w:r w:rsidRPr="00366E09">
                              <w:rPr>
                                <w:b/>
                                <w:bCs/>
                                <w:lang w:val="en-AU"/>
                              </w:rPr>
                              <w:t xml:space="preserve">55% </w:t>
                            </w:r>
                            <w:r>
                              <w:rPr>
                                <w:lang w:val="en-AU"/>
                              </w:rPr>
                              <w:t>of lost jobs were jobs held by women.</w:t>
                            </w:r>
                          </w:p>
                          <w:p w14:paraId="7CD50480" w14:textId="7367CC76" w:rsidR="00366E09" w:rsidRPr="00366E09" w:rsidRDefault="00366E09" w:rsidP="00366E09">
                            <w:pPr>
                              <w:pStyle w:val="ListParagraph"/>
                              <w:numPr>
                                <w:ilvl w:val="0"/>
                                <w:numId w:val="14"/>
                              </w:numPr>
                            </w:pPr>
                            <w:r>
                              <w:rPr>
                                <w:lang w:val="en-AU"/>
                              </w:rPr>
                              <w:t>Majority of</w:t>
                            </w:r>
                            <w:r w:rsidR="00020992">
                              <w:rPr>
                                <w:lang w:val="en-AU"/>
                              </w:rPr>
                              <w:t xml:space="preserve"> casual workers with less than 12 months continuous employment</w:t>
                            </w:r>
                            <w:r>
                              <w:rPr>
                                <w:lang w:val="en-AU"/>
                              </w:rPr>
                              <w:t xml:space="preserve"> are women, and do not have access to </w:t>
                            </w:r>
                            <w:proofErr w:type="spellStart"/>
                            <w:r>
                              <w:rPr>
                                <w:lang w:val="en-AU"/>
                              </w:rPr>
                              <w:t>JobKeeper</w:t>
                            </w:r>
                            <w:proofErr w:type="spellEnd"/>
                            <w:r>
                              <w:rPr>
                                <w:lang w:val="en-AU"/>
                              </w:rPr>
                              <w:t xml:space="preserve"> support.</w:t>
                            </w:r>
                          </w:p>
                          <w:p w14:paraId="67BC8D7D" w14:textId="65CCD651" w:rsidR="00366E09" w:rsidRDefault="00366E09" w:rsidP="00366E09">
                            <w:pPr>
                              <w:pStyle w:val="ListParagraph"/>
                              <w:numPr>
                                <w:ilvl w:val="0"/>
                                <w:numId w:val="14"/>
                              </w:numPr>
                            </w:pPr>
                            <w:r>
                              <w:t xml:space="preserve">Australia has a </w:t>
                            </w:r>
                            <w:r w:rsidRPr="00366E09">
                              <w:rPr>
                                <w:b/>
                                <w:bCs/>
                              </w:rPr>
                              <w:t>highly gender segregated job market</w:t>
                            </w:r>
                            <w:r>
                              <w:t>, with women concentrated in retail, hospitality and accommodation – some of the hardest hit industries during the 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7FDBA" id="_x0000_t202" coordsize="21600,21600" o:spt="202" path="m,l,21600r21600,l21600,xe">
                <v:stroke joinstyle="miter"/>
                <v:path gradientshapeok="t" o:connecttype="rect"/>
              </v:shapetype>
              <v:shape id="Text Box 2" o:spid="_x0000_s1026" type="#_x0000_t202" style="position:absolute;margin-left:2pt;margin-top:20.95pt;width:465.75pt;height:10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">
                <v:textbox>
                  <w:txbxContent>
                    <w:p w14:paraId="3D4DCDFD" w14:textId="77777777" w:rsidR="00366E09" w:rsidRPr="00366E09" w:rsidRDefault="00366E09" w:rsidP="00366E09">
                      <w:pPr>
                        <w:pStyle w:val="ListParagraph"/>
                        <w:numPr>
                          <w:ilvl w:val="0"/>
                          <w:numId w:val="14"/>
                        </w:numPr>
                      </w:pPr>
                      <w:r>
                        <w:rPr>
                          <w:lang w:val="en-AU"/>
                        </w:rPr>
                        <w:t xml:space="preserve">Women’s unemployment has jumped </w:t>
                      </w:r>
                      <w:r w:rsidRPr="00366E09">
                        <w:rPr>
                          <w:b/>
                          <w:bCs/>
                          <w:lang w:val="en-AU"/>
                        </w:rPr>
                        <w:t>five-fold</w:t>
                      </w:r>
                      <w:r>
                        <w:rPr>
                          <w:lang w:val="en-AU"/>
                        </w:rPr>
                        <w:t xml:space="preserve"> since the crisis.</w:t>
                      </w:r>
                    </w:p>
                    <w:p w14:paraId="35E96620" w14:textId="6CE434A8" w:rsidR="00366E09" w:rsidRPr="00366E09" w:rsidRDefault="00366E09" w:rsidP="00366E09">
                      <w:pPr>
                        <w:pStyle w:val="ListParagraph"/>
                        <w:numPr>
                          <w:ilvl w:val="0"/>
                          <w:numId w:val="14"/>
                        </w:numPr>
                      </w:pPr>
                      <w:r w:rsidRPr="00366E09">
                        <w:rPr>
                          <w:b/>
                          <w:bCs/>
                          <w:lang w:val="en-AU"/>
                        </w:rPr>
                        <w:t xml:space="preserve">55% </w:t>
                      </w:r>
                      <w:r>
                        <w:rPr>
                          <w:lang w:val="en-AU"/>
                        </w:rPr>
                        <w:t>of lost jobs were jobs held by women.</w:t>
                      </w:r>
                    </w:p>
                    <w:p w14:paraId="7CD50480" w14:textId="7367CC76" w:rsidR="00366E09" w:rsidRPr="00366E09" w:rsidRDefault="00366E09" w:rsidP="00366E09">
                      <w:pPr>
                        <w:pStyle w:val="ListParagraph"/>
                        <w:numPr>
                          <w:ilvl w:val="0"/>
                          <w:numId w:val="14"/>
                        </w:numPr>
                      </w:pPr>
                      <w:r>
                        <w:rPr>
                          <w:lang w:val="en-AU"/>
                        </w:rPr>
                        <w:t>Majority of</w:t>
                      </w:r>
                      <w:r w:rsidR="00020992">
                        <w:rPr>
                          <w:lang w:val="en-AU"/>
                        </w:rPr>
                        <w:t xml:space="preserve"> casual workers with less than 12 months continuous employment</w:t>
                      </w:r>
                      <w:r>
                        <w:rPr>
                          <w:lang w:val="en-AU"/>
                        </w:rPr>
                        <w:t xml:space="preserve"> are women, and do not have access to </w:t>
                      </w:r>
                      <w:proofErr w:type="spellStart"/>
                      <w:r>
                        <w:rPr>
                          <w:lang w:val="en-AU"/>
                        </w:rPr>
                        <w:t>JobKeeper</w:t>
                      </w:r>
                      <w:proofErr w:type="spellEnd"/>
                      <w:r>
                        <w:rPr>
                          <w:lang w:val="en-AU"/>
                        </w:rPr>
                        <w:t xml:space="preserve"> support.</w:t>
                      </w:r>
                    </w:p>
                    <w:p w14:paraId="67BC8D7D" w14:textId="65CCD651" w:rsidR="00366E09" w:rsidRDefault="00366E09" w:rsidP="00366E09">
                      <w:pPr>
                        <w:pStyle w:val="ListParagraph"/>
                        <w:numPr>
                          <w:ilvl w:val="0"/>
                          <w:numId w:val="14"/>
                        </w:numPr>
                      </w:pPr>
                      <w:r>
                        <w:t xml:space="preserve">Australia has a </w:t>
                      </w:r>
                      <w:r w:rsidRPr="00366E09">
                        <w:rPr>
                          <w:b/>
                          <w:bCs/>
                        </w:rPr>
                        <w:t>highly gender segregated job market</w:t>
                      </w:r>
                      <w:r>
                        <w:t>, with women concentrated in retail, hospitality and accommodation – some of the hardest hit industries during the crisis.</w:t>
                      </w:r>
                    </w:p>
                  </w:txbxContent>
                </v:textbox>
                <w10:wrap type="square" anchorx="margin"/>
              </v:shape>
            </w:pict>
          </mc:Fallback>
        </mc:AlternateContent>
      </w:r>
      <w:r w:rsidR="001245CB" w:rsidRPr="00876212">
        <w:rPr>
          <w:b/>
          <w:bCs/>
          <w:color w:val="000000" w:themeColor="text1"/>
        </w:rPr>
        <w:t xml:space="preserve">We need the road to economic recovery to be gender equal </w:t>
      </w:r>
    </w:p>
    <w:p w14:paraId="2B5A5813" w14:textId="34A4F737" w:rsidR="00ED581E" w:rsidRPr="00876212" w:rsidRDefault="001245CB" w:rsidP="001245CB">
      <w:pPr>
        <w:rPr>
          <w:rFonts w:cstheme="minorHAnsi"/>
          <w:color w:val="000000" w:themeColor="text1"/>
        </w:rPr>
      </w:pPr>
      <w:r w:rsidRPr="00876212">
        <w:rPr>
          <w:rFonts w:cstheme="minorHAnsi"/>
          <w:color w:val="000000" w:themeColor="text1"/>
          <w:shd w:val="clear" w:color="auto" w:fill="FFFFFF"/>
        </w:rPr>
        <w:t>Economic security means having a</w:t>
      </w:r>
      <w:r w:rsidRPr="00876212">
        <w:rPr>
          <w:rFonts w:cstheme="minorHAnsi"/>
          <w:b/>
          <w:bCs/>
          <w:color w:val="000000" w:themeColor="text1"/>
          <w:shd w:val="clear" w:color="auto" w:fill="FFFFFF"/>
        </w:rPr>
        <w:t xml:space="preserve"> </w:t>
      </w:r>
      <w:r w:rsidRPr="00876212">
        <w:rPr>
          <w:rFonts w:cstheme="minorHAnsi"/>
          <w:color w:val="000000" w:themeColor="text1"/>
          <w:shd w:val="clear" w:color="auto" w:fill="FFFFFF"/>
        </w:rPr>
        <w:t xml:space="preserve">stable income, </w:t>
      </w:r>
      <w:r w:rsidRPr="00876212">
        <w:rPr>
          <w:rFonts w:cstheme="minorHAnsi"/>
          <w:color w:val="000000" w:themeColor="text1"/>
        </w:rPr>
        <w:t xml:space="preserve">affordable shelter and income for food and basic living expenses. </w:t>
      </w:r>
      <w:r w:rsidR="00061FDF" w:rsidRPr="00876212">
        <w:rPr>
          <w:rFonts w:cstheme="minorHAnsi"/>
          <w:color w:val="000000" w:themeColor="text1"/>
        </w:rPr>
        <w:t xml:space="preserve">It also means having </w:t>
      </w:r>
      <w:r w:rsidRPr="00876212">
        <w:rPr>
          <w:rFonts w:cstheme="minorHAnsi"/>
          <w:color w:val="000000" w:themeColor="text1"/>
        </w:rPr>
        <w:t>opportunities to thrive through education, training and employment</w:t>
      </w:r>
      <w:r w:rsidR="00061FDF" w:rsidRPr="00876212">
        <w:rPr>
          <w:rFonts w:cstheme="minorHAnsi"/>
          <w:color w:val="000000" w:themeColor="text1"/>
        </w:rPr>
        <w:t>.</w:t>
      </w:r>
      <w:r w:rsidR="00ED581E" w:rsidRPr="00876212">
        <w:rPr>
          <w:rFonts w:cstheme="minorHAnsi"/>
          <w:color w:val="000000" w:themeColor="text1"/>
        </w:rPr>
        <w:t xml:space="preserve"> </w:t>
      </w:r>
    </w:p>
    <w:p w14:paraId="2B3B8061" w14:textId="09B79D76" w:rsidR="001245CB" w:rsidRPr="00876212" w:rsidRDefault="00061FDF" w:rsidP="00ED581E">
      <w:pPr>
        <w:rPr>
          <w:color w:val="000000" w:themeColor="text1"/>
        </w:rPr>
      </w:pPr>
      <w:r w:rsidRPr="00876212">
        <w:rPr>
          <w:color w:val="000000" w:themeColor="text1"/>
        </w:rPr>
        <w:t xml:space="preserve">A gender equal economy </w:t>
      </w:r>
      <w:r w:rsidR="001245CB" w:rsidRPr="00876212">
        <w:rPr>
          <w:color w:val="000000" w:themeColor="text1"/>
        </w:rPr>
        <w:t xml:space="preserve">is a human right, but it is also essential for prosperity. Research from across the world has shown gender equity delivers greater productivity, higher profits and economic growth. It prevents violence against women and girls and diminishes corruption.  Societies that value women and men as equal are safer and healthier. </w:t>
      </w:r>
    </w:p>
    <w:p w14:paraId="46D080AD" w14:textId="7C2DBABF" w:rsidR="00A33888" w:rsidRPr="00876212" w:rsidRDefault="001245CB" w:rsidP="00FB6017">
      <w:pPr>
        <w:rPr>
          <w:rFonts w:cstheme="minorHAnsi"/>
          <w:color w:val="000000" w:themeColor="text1"/>
        </w:rPr>
      </w:pPr>
      <w:r w:rsidRPr="00876212">
        <w:rPr>
          <w:color w:val="000000" w:themeColor="text1"/>
        </w:rPr>
        <w:t>Covid19 is an opportunity to rebuild our lives and economy with gender equality at the heart of</w:t>
      </w:r>
      <w:r w:rsidR="00ED581E" w:rsidRPr="00876212">
        <w:rPr>
          <w:color w:val="000000" w:themeColor="text1"/>
        </w:rPr>
        <w:t xml:space="preserve"> everything we do. </w:t>
      </w:r>
      <w:r w:rsidRPr="00876212">
        <w:rPr>
          <w:color w:val="000000" w:themeColor="text1"/>
        </w:rPr>
        <w:t>Recovery must lead to a more equal world.</w:t>
      </w:r>
      <w:r w:rsidRPr="00876212">
        <w:rPr>
          <w:rStyle w:val="FootnoteReference"/>
          <w:color w:val="000000" w:themeColor="text1"/>
        </w:rPr>
        <w:footnoteReference w:id="1"/>
      </w:r>
      <w:r w:rsidRPr="00876212">
        <w:rPr>
          <w:b/>
          <w:bCs/>
          <w:color w:val="000000" w:themeColor="text1"/>
        </w:rPr>
        <w:t xml:space="preserve"> </w:t>
      </w:r>
    </w:p>
    <w:p w14:paraId="2322A5F5" w14:textId="6D270C3E" w:rsidR="001D5E3C" w:rsidRPr="00876212" w:rsidRDefault="001D5E3C" w:rsidP="00791F93">
      <w:pPr>
        <w:rPr>
          <w:b/>
          <w:bCs/>
          <w:color w:val="000000" w:themeColor="text1"/>
        </w:rPr>
      </w:pPr>
      <w:r w:rsidRPr="00876212">
        <w:rPr>
          <w:b/>
          <w:bCs/>
          <w:color w:val="000000" w:themeColor="text1"/>
        </w:rPr>
        <w:t>Recommendations</w:t>
      </w:r>
      <w:r w:rsidR="0015740F" w:rsidRPr="00876212">
        <w:rPr>
          <w:b/>
          <w:bCs/>
          <w:color w:val="000000" w:themeColor="text1"/>
        </w:rPr>
        <w:t xml:space="preserve"> for </w:t>
      </w:r>
      <w:r w:rsidR="00ED581E" w:rsidRPr="00876212">
        <w:rPr>
          <w:b/>
          <w:bCs/>
          <w:color w:val="000000" w:themeColor="text1"/>
        </w:rPr>
        <w:t xml:space="preserve">gender equal recovery and resilience </w:t>
      </w:r>
    </w:p>
    <w:p w14:paraId="3C21068F" w14:textId="77777777" w:rsidR="00ED581E" w:rsidRPr="00876212" w:rsidRDefault="00ED581E" w:rsidP="00ED581E">
      <w:pPr>
        <w:pStyle w:val="ListParagraph"/>
        <w:numPr>
          <w:ilvl w:val="0"/>
          <w:numId w:val="12"/>
        </w:numPr>
        <w:spacing w:after="200" w:line="276" w:lineRule="auto"/>
        <w:rPr>
          <w:b/>
          <w:bCs/>
          <w:color w:val="000000" w:themeColor="text1"/>
        </w:rPr>
      </w:pPr>
      <w:r w:rsidRPr="00876212">
        <w:rPr>
          <w:b/>
          <w:bCs/>
          <w:color w:val="000000" w:themeColor="text1"/>
        </w:rPr>
        <w:t xml:space="preserve">Endorse the </w:t>
      </w:r>
      <w:proofErr w:type="spellStart"/>
      <w:r w:rsidRPr="00876212">
        <w:rPr>
          <w:b/>
          <w:bCs/>
          <w:color w:val="000000" w:themeColor="text1"/>
        </w:rPr>
        <w:t>GenVic</w:t>
      </w:r>
      <w:proofErr w:type="spellEnd"/>
      <w:r w:rsidRPr="00876212">
        <w:rPr>
          <w:b/>
          <w:bCs/>
          <w:color w:val="000000" w:themeColor="text1"/>
        </w:rPr>
        <w:t xml:space="preserve"> Joint Statement on Gender Equality and COVID 19</w:t>
      </w:r>
      <w:r w:rsidRPr="00876212">
        <w:rPr>
          <w:rStyle w:val="FootnoteReference"/>
          <w:b/>
          <w:bCs/>
          <w:color w:val="000000" w:themeColor="text1"/>
        </w:rPr>
        <w:footnoteReference w:id="2"/>
      </w:r>
    </w:p>
    <w:p w14:paraId="218B1192" w14:textId="6FF7F6E5" w:rsidR="00ED581E" w:rsidRPr="00876212" w:rsidRDefault="00ED581E" w:rsidP="00ED581E">
      <w:pPr>
        <w:numPr>
          <w:ilvl w:val="0"/>
          <w:numId w:val="13"/>
        </w:numPr>
        <w:spacing w:after="168" w:line="240" w:lineRule="auto"/>
        <w:textAlignment w:val="baseline"/>
        <w:rPr>
          <w:b/>
          <w:bCs/>
          <w:color w:val="000000" w:themeColor="text1"/>
        </w:rPr>
      </w:pPr>
      <w:r w:rsidRPr="00876212">
        <w:rPr>
          <w:rFonts w:eastAsia="Times New Roman" w:cstheme="minorHAnsi"/>
          <w:b/>
          <w:bCs/>
          <w:color w:val="000000" w:themeColor="text1"/>
          <w:lang w:val="en-AU" w:eastAsia="en-AU"/>
        </w:rPr>
        <w:t xml:space="preserve">Get gender equality investment back on track through a significant stimulus injection un the State Budget and the introduction of gender responsive budgeting.  </w:t>
      </w:r>
    </w:p>
    <w:p w14:paraId="377261FC" w14:textId="55E81105" w:rsidR="00333568" w:rsidRPr="00876212" w:rsidRDefault="00ED581E" w:rsidP="00333568">
      <w:pPr>
        <w:numPr>
          <w:ilvl w:val="0"/>
          <w:numId w:val="13"/>
        </w:numPr>
        <w:spacing w:after="0" w:line="240" w:lineRule="auto"/>
        <w:ind w:hanging="357"/>
        <w:textAlignment w:val="baseline"/>
        <w:rPr>
          <w:rFonts w:eastAsia="Times New Roman" w:cstheme="minorHAnsi"/>
          <w:color w:val="000000" w:themeColor="text1"/>
          <w:lang w:val="en-AU" w:eastAsia="en-AU"/>
        </w:rPr>
      </w:pPr>
      <w:r w:rsidRPr="00876212">
        <w:rPr>
          <w:rFonts w:eastAsia="Times New Roman" w:cstheme="minorHAnsi"/>
          <w:b/>
          <w:bCs/>
          <w:color w:val="000000" w:themeColor="text1"/>
          <w:lang w:val="en-AU" w:eastAsia="en-AU"/>
        </w:rPr>
        <w:t>Intervene and stimulate the economy in a gender equal manner by</w:t>
      </w:r>
      <w:r w:rsidRPr="00876212">
        <w:rPr>
          <w:rFonts w:eastAsia="Times New Roman" w:cstheme="minorHAnsi"/>
          <w:color w:val="000000" w:themeColor="text1"/>
          <w:lang w:val="en-AU" w:eastAsia="en-AU"/>
        </w:rPr>
        <w:t>:</w:t>
      </w:r>
    </w:p>
    <w:p w14:paraId="69C5B5C1" w14:textId="0407C683" w:rsidR="00333568" w:rsidRPr="00876212" w:rsidRDefault="004656D4" w:rsidP="00ED581E">
      <w:pPr>
        <w:numPr>
          <w:ilvl w:val="1"/>
          <w:numId w:val="13"/>
        </w:numPr>
        <w:spacing w:after="0" w:line="240" w:lineRule="auto"/>
        <w:ind w:hanging="357"/>
        <w:textAlignment w:val="baseline"/>
        <w:rPr>
          <w:rFonts w:eastAsia="Times New Roman" w:cstheme="minorHAnsi"/>
          <w:color w:val="000000" w:themeColor="text1"/>
          <w:lang w:val="en-AU" w:eastAsia="en-AU"/>
        </w:rPr>
      </w:pPr>
      <w:r w:rsidRPr="00876212">
        <w:rPr>
          <w:rFonts w:eastAsia="Times New Roman" w:cstheme="minorHAnsi"/>
          <w:color w:val="000000" w:themeColor="text1"/>
          <w:lang w:val="en-AU" w:eastAsia="en-AU"/>
        </w:rPr>
        <w:t xml:space="preserve">Stimulating </w:t>
      </w:r>
      <w:r w:rsidR="00ED581E" w:rsidRPr="00876212">
        <w:rPr>
          <w:rFonts w:eastAsia="Times New Roman" w:cstheme="minorHAnsi"/>
          <w:color w:val="000000" w:themeColor="text1"/>
          <w:lang w:val="en-AU" w:eastAsia="en-AU"/>
        </w:rPr>
        <w:t xml:space="preserve">jobs in </w:t>
      </w:r>
      <w:r w:rsidR="008911B4" w:rsidRPr="00876212">
        <w:rPr>
          <w:rFonts w:eastAsia="Times New Roman" w:cstheme="minorHAnsi"/>
          <w:color w:val="000000" w:themeColor="text1"/>
          <w:lang w:val="en-AU" w:eastAsia="en-AU"/>
        </w:rPr>
        <w:t>industries that employ women. Nation-building infrastructure investment must include social infrastructure as well as bricks and mortar so that women and men benefit equally from</w:t>
      </w:r>
      <w:r w:rsidR="00333568" w:rsidRPr="00876212">
        <w:rPr>
          <w:rFonts w:eastAsia="Times New Roman" w:cstheme="minorHAnsi"/>
          <w:color w:val="000000" w:themeColor="text1"/>
          <w:lang w:val="en-AU" w:eastAsia="en-AU"/>
        </w:rPr>
        <w:t xml:space="preserve"> job creation and</w:t>
      </w:r>
      <w:r w:rsidR="008911B4" w:rsidRPr="00876212">
        <w:rPr>
          <w:rFonts w:eastAsia="Times New Roman" w:cstheme="minorHAnsi"/>
          <w:color w:val="000000" w:themeColor="text1"/>
          <w:lang w:val="en-AU" w:eastAsia="en-AU"/>
        </w:rPr>
        <w:t xml:space="preserve"> recovery stimulus.</w:t>
      </w:r>
    </w:p>
    <w:p w14:paraId="5269ADA0" w14:textId="77777777" w:rsidR="004656D4" w:rsidRPr="00876212" w:rsidRDefault="004656D4" w:rsidP="004656D4">
      <w:pPr>
        <w:numPr>
          <w:ilvl w:val="1"/>
          <w:numId w:val="13"/>
        </w:numPr>
        <w:spacing w:after="0" w:line="240" w:lineRule="auto"/>
        <w:ind w:hanging="357"/>
        <w:textAlignment w:val="baseline"/>
        <w:rPr>
          <w:rFonts w:eastAsia="Times New Roman" w:cstheme="minorHAnsi"/>
          <w:color w:val="000000" w:themeColor="text1"/>
          <w:lang w:val="en-AU" w:eastAsia="en-AU"/>
        </w:rPr>
      </w:pPr>
      <w:r w:rsidRPr="00876212">
        <w:rPr>
          <w:rFonts w:eastAsia="Times New Roman" w:cstheme="minorHAnsi"/>
          <w:color w:val="000000" w:themeColor="text1"/>
          <w:lang w:val="en-AU" w:eastAsia="en-AU"/>
        </w:rPr>
        <w:t xml:space="preserve">Creating a </w:t>
      </w:r>
      <w:proofErr w:type="spellStart"/>
      <w:r w:rsidRPr="00876212">
        <w:rPr>
          <w:rFonts w:eastAsia="Times New Roman" w:cstheme="minorHAnsi"/>
          <w:color w:val="000000" w:themeColor="text1"/>
          <w:lang w:val="en-AU" w:eastAsia="en-AU"/>
        </w:rPr>
        <w:t>statewide</w:t>
      </w:r>
      <w:proofErr w:type="spellEnd"/>
      <w:r w:rsidRPr="00876212">
        <w:rPr>
          <w:rFonts w:eastAsia="Times New Roman" w:cstheme="minorHAnsi"/>
          <w:color w:val="000000" w:themeColor="text1"/>
          <w:lang w:val="en-AU" w:eastAsia="en-AU"/>
        </w:rPr>
        <w:t xml:space="preserve"> Gender &amp; Disaster Workforce to support recovery at a local level in communities impacted by Covid19 and the Summer Bushfires</w:t>
      </w:r>
    </w:p>
    <w:p w14:paraId="4460493D" w14:textId="0BF287D2" w:rsidR="00ED581E" w:rsidRPr="00876212" w:rsidRDefault="00333568" w:rsidP="00ED581E">
      <w:pPr>
        <w:numPr>
          <w:ilvl w:val="1"/>
          <w:numId w:val="13"/>
        </w:numPr>
        <w:spacing w:after="0" w:line="240" w:lineRule="auto"/>
        <w:ind w:hanging="357"/>
        <w:textAlignment w:val="baseline"/>
        <w:rPr>
          <w:rFonts w:eastAsia="Times New Roman" w:cstheme="minorHAnsi"/>
          <w:color w:val="000000" w:themeColor="text1"/>
          <w:lang w:val="en-AU" w:eastAsia="en-AU"/>
        </w:rPr>
      </w:pPr>
      <w:r w:rsidRPr="00876212">
        <w:rPr>
          <w:rFonts w:eastAsia="Times New Roman" w:cstheme="minorHAnsi"/>
          <w:color w:val="000000" w:themeColor="text1"/>
          <w:lang w:val="en-AU" w:eastAsia="en-AU"/>
        </w:rPr>
        <w:t xml:space="preserve">Building a personal protective equipment manufacturing sector to guarantee supply to the entire essential service workforce </w:t>
      </w:r>
      <w:r w:rsidR="008911B4" w:rsidRPr="00876212">
        <w:rPr>
          <w:rFonts w:eastAsia="Times New Roman" w:cstheme="minorHAnsi"/>
          <w:color w:val="000000" w:themeColor="text1"/>
          <w:lang w:val="en-AU" w:eastAsia="en-AU"/>
        </w:rPr>
        <w:t xml:space="preserve"> </w:t>
      </w:r>
    </w:p>
    <w:p w14:paraId="15C66C5F" w14:textId="0CCBCF45" w:rsidR="00ED581E" w:rsidRPr="00876212" w:rsidRDefault="008911B4" w:rsidP="00ED581E">
      <w:pPr>
        <w:numPr>
          <w:ilvl w:val="1"/>
          <w:numId w:val="13"/>
        </w:numPr>
        <w:spacing w:after="0" w:line="240" w:lineRule="auto"/>
        <w:ind w:hanging="357"/>
        <w:textAlignment w:val="baseline"/>
        <w:rPr>
          <w:rFonts w:eastAsia="Times New Roman" w:cstheme="minorHAnsi"/>
          <w:color w:val="000000" w:themeColor="text1"/>
          <w:lang w:val="en-AU" w:eastAsia="en-AU"/>
        </w:rPr>
      </w:pPr>
      <w:r w:rsidRPr="00876212">
        <w:rPr>
          <w:rFonts w:eastAsia="Times New Roman" w:cstheme="minorHAnsi"/>
          <w:color w:val="000000" w:themeColor="text1"/>
          <w:lang w:val="en-AU" w:eastAsia="en-AU"/>
        </w:rPr>
        <w:t>P</w:t>
      </w:r>
      <w:r w:rsidR="00ED581E" w:rsidRPr="00876212">
        <w:rPr>
          <w:rFonts w:eastAsia="Times New Roman" w:cstheme="minorHAnsi"/>
          <w:color w:val="000000" w:themeColor="text1"/>
          <w:lang w:val="en-AU" w:eastAsia="en-AU"/>
        </w:rPr>
        <w:t>roviding wage subsidies</w:t>
      </w:r>
      <w:r w:rsidRPr="00876212">
        <w:rPr>
          <w:rFonts w:eastAsia="Times New Roman" w:cstheme="minorHAnsi"/>
          <w:color w:val="000000" w:themeColor="text1"/>
          <w:lang w:val="en-AU" w:eastAsia="en-AU"/>
        </w:rPr>
        <w:t xml:space="preserve"> and other supports </w:t>
      </w:r>
      <w:r w:rsidR="00ED581E" w:rsidRPr="00876212">
        <w:rPr>
          <w:rFonts w:eastAsia="Times New Roman" w:cstheme="minorHAnsi"/>
          <w:color w:val="000000" w:themeColor="text1"/>
          <w:lang w:val="en-AU" w:eastAsia="en-AU"/>
        </w:rPr>
        <w:t>to workers, including</w:t>
      </w:r>
      <w:r w:rsidR="004656D4" w:rsidRPr="00876212">
        <w:rPr>
          <w:rFonts w:eastAsia="Times New Roman" w:cstheme="minorHAnsi"/>
          <w:color w:val="000000" w:themeColor="text1"/>
          <w:lang w:val="en-AU" w:eastAsia="en-AU"/>
        </w:rPr>
        <w:t xml:space="preserve"> </w:t>
      </w:r>
      <w:r w:rsidR="00ED581E" w:rsidRPr="00876212">
        <w:rPr>
          <w:rFonts w:eastAsia="Times New Roman" w:cstheme="minorHAnsi"/>
          <w:color w:val="000000" w:themeColor="text1"/>
          <w:lang w:val="en-AU" w:eastAsia="en-AU"/>
        </w:rPr>
        <w:t xml:space="preserve">women </w:t>
      </w:r>
      <w:r w:rsidR="004656D4" w:rsidRPr="00876212">
        <w:rPr>
          <w:rFonts w:eastAsia="Times New Roman" w:cstheme="minorHAnsi"/>
          <w:color w:val="000000" w:themeColor="text1"/>
          <w:lang w:val="en-AU" w:eastAsia="en-AU"/>
        </w:rPr>
        <w:t>in casual jobs</w:t>
      </w:r>
      <w:r w:rsidR="00ED581E" w:rsidRPr="00876212">
        <w:rPr>
          <w:rFonts w:eastAsia="Times New Roman" w:cstheme="minorHAnsi"/>
          <w:color w:val="000000" w:themeColor="text1"/>
          <w:lang w:val="en-AU" w:eastAsia="en-AU"/>
        </w:rPr>
        <w:t xml:space="preserve"> </w:t>
      </w:r>
    </w:p>
    <w:p w14:paraId="783823BE" w14:textId="737C469D" w:rsidR="00ED581E" w:rsidRPr="00876212" w:rsidRDefault="008911B4" w:rsidP="00ED581E">
      <w:pPr>
        <w:numPr>
          <w:ilvl w:val="1"/>
          <w:numId w:val="13"/>
        </w:numPr>
        <w:spacing w:after="0" w:line="240" w:lineRule="auto"/>
        <w:ind w:hanging="357"/>
        <w:textAlignment w:val="baseline"/>
        <w:rPr>
          <w:rFonts w:eastAsia="Times New Roman" w:cstheme="minorHAnsi"/>
          <w:color w:val="000000" w:themeColor="text1"/>
          <w:lang w:val="en-AU" w:eastAsia="en-AU"/>
        </w:rPr>
      </w:pPr>
      <w:r w:rsidRPr="00876212">
        <w:rPr>
          <w:rFonts w:cstheme="minorHAnsi"/>
          <w:color w:val="000000" w:themeColor="text1"/>
        </w:rPr>
        <w:t>C</w:t>
      </w:r>
      <w:r w:rsidR="00ED581E" w:rsidRPr="00876212">
        <w:rPr>
          <w:rFonts w:cstheme="minorHAnsi"/>
          <w:color w:val="000000" w:themeColor="text1"/>
        </w:rPr>
        <w:t>losing the gender pay gap through legislation</w:t>
      </w:r>
    </w:p>
    <w:p w14:paraId="364C6EBD" w14:textId="385F8919" w:rsidR="00333568" w:rsidRPr="00876212" w:rsidRDefault="008911B4" w:rsidP="00333568">
      <w:pPr>
        <w:numPr>
          <w:ilvl w:val="1"/>
          <w:numId w:val="13"/>
        </w:numPr>
        <w:spacing w:after="0" w:line="240" w:lineRule="auto"/>
        <w:ind w:hanging="357"/>
        <w:textAlignment w:val="baseline"/>
        <w:rPr>
          <w:rFonts w:eastAsia="Times New Roman" w:cstheme="minorHAnsi"/>
          <w:color w:val="000000" w:themeColor="text1"/>
          <w:lang w:val="en-AU" w:eastAsia="en-AU"/>
        </w:rPr>
      </w:pPr>
      <w:r w:rsidRPr="00876212">
        <w:rPr>
          <w:rFonts w:cstheme="minorHAnsi"/>
          <w:color w:val="000000" w:themeColor="text1"/>
        </w:rPr>
        <w:t>G</w:t>
      </w:r>
      <w:r w:rsidR="00ED581E" w:rsidRPr="00876212">
        <w:rPr>
          <w:rFonts w:cstheme="minorHAnsi"/>
          <w:color w:val="000000" w:themeColor="text1"/>
        </w:rPr>
        <w:t>uaranteeing superannuation contributions while on maternity and paternity leave;</w:t>
      </w:r>
    </w:p>
    <w:p w14:paraId="49675C1A" w14:textId="7AF720E6" w:rsidR="00770925" w:rsidRPr="00876212" w:rsidRDefault="00770925" w:rsidP="00ED581E">
      <w:pPr>
        <w:numPr>
          <w:ilvl w:val="0"/>
          <w:numId w:val="13"/>
        </w:numPr>
        <w:spacing w:after="168" w:line="240" w:lineRule="auto"/>
        <w:textAlignment w:val="baseline"/>
        <w:rPr>
          <w:rFonts w:eastAsia="Times New Roman" w:cstheme="minorHAnsi"/>
          <w:color w:val="000000" w:themeColor="text1"/>
          <w:lang w:val="en-AU" w:eastAsia="en-AU"/>
        </w:rPr>
      </w:pPr>
      <w:r w:rsidRPr="00876212">
        <w:rPr>
          <w:rFonts w:eastAsia="Times New Roman" w:cstheme="minorHAnsi"/>
          <w:b/>
          <w:bCs/>
          <w:color w:val="000000" w:themeColor="text1"/>
          <w:lang w:val="en-AU" w:eastAsia="en-AU"/>
        </w:rPr>
        <w:t>Retain universal free childcare</w:t>
      </w:r>
      <w:r w:rsidRPr="00876212">
        <w:rPr>
          <w:rFonts w:eastAsia="Times New Roman" w:cstheme="minorHAnsi"/>
          <w:color w:val="000000" w:themeColor="text1"/>
          <w:lang w:val="en-AU" w:eastAsia="en-AU"/>
        </w:rPr>
        <w:t xml:space="preserve"> in a way that is sustainable for early childhood educators and providers, to support workforce participation</w:t>
      </w:r>
      <w:r w:rsidR="00333568" w:rsidRPr="00876212">
        <w:rPr>
          <w:rFonts w:eastAsia="Times New Roman" w:cstheme="minorHAnsi"/>
          <w:color w:val="000000" w:themeColor="text1"/>
          <w:lang w:val="en-AU" w:eastAsia="en-AU"/>
        </w:rPr>
        <w:t>.</w:t>
      </w:r>
    </w:p>
    <w:p w14:paraId="7F4A1A64" w14:textId="764C6340" w:rsidR="00770925" w:rsidRPr="00876212" w:rsidRDefault="00B34950" w:rsidP="00ED581E">
      <w:pPr>
        <w:numPr>
          <w:ilvl w:val="0"/>
          <w:numId w:val="13"/>
        </w:numPr>
        <w:spacing w:after="168" w:line="240" w:lineRule="auto"/>
        <w:textAlignment w:val="baseline"/>
        <w:rPr>
          <w:rFonts w:eastAsia="Times New Roman" w:cstheme="minorHAnsi"/>
          <w:color w:val="000000" w:themeColor="text1"/>
          <w:lang w:val="en-AU" w:eastAsia="en-AU"/>
        </w:rPr>
      </w:pPr>
      <w:r w:rsidRPr="00876212">
        <w:rPr>
          <w:rFonts w:eastAsia="Times New Roman" w:cstheme="minorHAnsi"/>
          <w:b/>
          <w:bCs/>
          <w:color w:val="000000" w:themeColor="text1"/>
          <w:lang w:val="en-AU" w:eastAsia="en-AU"/>
        </w:rPr>
        <w:lastRenderedPageBreak/>
        <w:t>Provide recognition and support to carers and educators at home</w:t>
      </w:r>
      <w:r w:rsidR="00333568" w:rsidRPr="00876212">
        <w:rPr>
          <w:rFonts w:eastAsia="Times New Roman" w:cstheme="minorHAnsi"/>
          <w:b/>
          <w:bCs/>
          <w:color w:val="000000" w:themeColor="text1"/>
          <w:lang w:val="en-AU" w:eastAsia="en-AU"/>
        </w:rPr>
        <w:t xml:space="preserve">. </w:t>
      </w:r>
      <w:r w:rsidR="00333568" w:rsidRPr="00876212">
        <w:rPr>
          <w:rFonts w:eastAsia="Times New Roman" w:cstheme="minorHAnsi"/>
          <w:color w:val="000000" w:themeColor="text1"/>
          <w:lang w:val="en-AU" w:eastAsia="en-AU"/>
        </w:rPr>
        <w:t xml:space="preserve">This may include increasing maternity and paternity leave provision, </w:t>
      </w:r>
      <w:r w:rsidR="004656D4" w:rsidRPr="00876212">
        <w:rPr>
          <w:rFonts w:eastAsia="Times New Roman" w:cstheme="minorHAnsi"/>
          <w:color w:val="000000" w:themeColor="text1"/>
          <w:lang w:val="en-AU" w:eastAsia="en-AU"/>
        </w:rPr>
        <w:t xml:space="preserve">a </w:t>
      </w:r>
      <w:r w:rsidR="00770925" w:rsidRPr="00876212">
        <w:rPr>
          <w:rFonts w:cstheme="minorHAnsi"/>
          <w:color w:val="000000" w:themeColor="text1"/>
        </w:rPr>
        <w:t>government</w:t>
      </w:r>
      <w:r w:rsidR="00CA0E61" w:rsidRPr="00876212">
        <w:rPr>
          <w:rFonts w:cstheme="minorHAnsi"/>
          <w:color w:val="000000" w:themeColor="text1"/>
        </w:rPr>
        <w:t>-</w:t>
      </w:r>
      <w:r w:rsidR="00770925" w:rsidRPr="00876212">
        <w:rPr>
          <w:rFonts w:cstheme="minorHAnsi"/>
          <w:color w:val="000000" w:themeColor="text1"/>
        </w:rPr>
        <w:t>funded “</w:t>
      </w:r>
      <w:proofErr w:type="spellStart"/>
      <w:r w:rsidR="00770925" w:rsidRPr="00876212">
        <w:rPr>
          <w:rFonts w:cstheme="minorHAnsi"/>
          <w:color w:val="000000" w:themeColor="text1"/>
        </w:rPr>
        <w:t>carer</w:t>
      </w:r>
      <w:proofErr w:type="spellEnd"/>
      <w:r w:rsidR="00770925" w:rsidRPr="00876212">
        <w:rPr>
          <w:rFonts w:cstheme="minorHAnsi"/>
          <w:color w:val="000000" w:themeColor="text1"/>
        </w:rPr>
        <w:t xml:space="preserve"> credit” in the form of superannuation payments</w:t>
      </w:r>
      <w:r w:rsidR="004656D4" w:rsidRPr="00876212">
        <w:rPr>
          <w:rFonts w:cstheme="minorHAnsi"/>
          <w:color w:val="000000" w:themeColor="text1"/>
        </w:rPr>
        <w:t xml:space="preserve"> or </w:t>
      </w:r>
      <w:r w:rsidR="00770925" w:rsidRPr="00876212">
        <w:rPr>
          <w:rFonts w:cstheme="minorHAnsi"/>
          <w:color w:val="000000" w:themeColor="text1"/>
        </w:rPr>
        <w:t xml:space="preserve">pension top-ups </w:t>
      </w:r>
      <w:r w:rsidR="004656D4" w:rsidRPr="00876212">
        <w:rPr>
          <w:rFonts w:cstheme="minorHAnsi"/>
          <w:color w:val="000000" w:themeColor="text1"/>
        </w:rPr>
        <w:t xml:space="preserve">in recognition of </w:t>
      </w:r>
      <w:r w:rsidR="00770925" w:rsidRPr="00876212">
        <w:rPr>
          <w:rFonts w:cstheme="minorHAnsi"/>
          <w:color w:val="000000" w:themeColor="text1"/>
        </w:rPr>
        <w:t xml:space="preserve">savings to the budget </w:t>
      </w:r>
      <w:r w:rsidR="004656D4" w:rsidRPr="00876212">
        <w:rPr>
          <w:rFonts w:cstheme="minorHAnsi"/>
          <w:color w:val="000000" w:themeColor="text1"/>
        </w:rPr>
        <w:t xml:space="preserve">delivered by women </w:t>
      </w:r>
      <w:r w:rsidR="00333568" w:rsidRPr="00876212">
        <w:rPr>
          <w:rFonts w:cstheme="minorHAnsi"/>
          <w:color w:val="000000" w:themeColor="text1"/>
        </w:rPr>
        <w:t>and initiatives to encourage shared care between men and women.</w:t>
      </w:r>
    </w:p>
    <w:p w14:paraId="1C2A9589" w14:textId="298B2669" w:rsidR="000E4F57" w:rsidRPr="00876212" w:rsidRDefault="00ED581E" w:rsidP="0071520B">
      <w:pPr>
        <w:numPr>
          <w:ilvl w:val="0"/>
          <w:numId w:val="13"/>
        </w:numPr>
        <w:spacing w:after="168" w:line="240" w:lineRule="auto"/>
        <w:textAlignment w:val="baseline"/>
        <w:rPr>
          <w:b/>
          <w:bCs/>
          <w:color w:val="000000" w:themeColor="text1"/>
        </w:rPr>
      </w:pPr>
      <w:r w:rsidRPr="00876212">
        <w:rPr>
          <w:rFonts w:eastAsia="Times New Roman" w:cstheme="minorHAnsi"/>
          <w:b/>
          <w:bCs/>
          <w:color w:val="000000" w:themeColor="text1"/>
          <w:lang w:val="en-AU" w:eastAsia="en-AU"/>
        </w:rPr>
        <w:t xml:space="preserve">Collect, analyse and publish sex and gender disaggregated data on the impact of </w:t>
      </w:r>
      <w:r w:rsidR="00770925" w:rsidRPr="00876212">
        <w:rPr>
          <w:rFonts w:eastAsia="Times New Roman" w:cstheme="minorHAnsi"/>
          <w:b/>
          <w:bCs/>
          <w:color w:val="000000" w:themeColor="text1"/>
          <w:lang w:val="en-AU" w:eastAsia="en-AU"/>
        </w:rPr>
        <w:t>COVID-19</w:t>
      </w:r>
      <w:r w:rsidR="00770925" w:rsidRPr="00876212">
        <w:rPr>
          <w:rFonts w:eastAsia="Times New Roman" w:cstheme="minorHAnsi"/>
          <w:color w:val="000000" w:themeColor="text1"/>
          <w:lang w:val="en-AU" w:eastAsia="en-AU"/>
        </w:rPr>
        <w:t xml:space="preserve"> </w:t>
      </w:r>
      <w:r w:rsidRPr="00876212">
        <w:rPr>
          <w:rFonts w:eastAsia="Times New Roman" w:cstheme="minorHAnsi"/>
          <w:color w:val="000000" w:themeColor="text1"/>
          <w:lang w:val="en-AU" w:eastAsia="en-AU"/>
        </w:rPr>
        <w:t xml:space="preserve">to ensure </w:t>
      </w:r>
      <w:r w:rsidR="00333568" w:rsidRPr="00876212">
        <w:rPr>
          <w:rFonts w:eastAsia="Times New Roman" w:cstheme="minorHAnsi"/>
          <w:color w:val="000000" w:themeColor="text1"/>
          <w:lang w:val="en-AU" w:eastAsia="en-AU"/>
        </w:rPr>
        <w:t xml:space="preserve">policy, planning, investment and </w:t>
      </w:r>
      <w:r w:rsidR="00770925" w:rsidRPr="00876212">
        <w:rPr>
          <w:rFonts w:eastAsia="Times New Roman" w:cstheme="minorHAnsi"/>
          <w:color w:val="000000" w:themeColor="text1"/>
          <w:lang w:val="en-AU" w:eastAsia="en-AU"/>
        </w:rPr>
        <w:t>communications a</w:t>
      </w:r>
      <w:r w:rsidR="00333568" w:rsidRPr="00876212">
        <w:rPr>
          <w:rFonts w:eastAsia="Times New Roman" w:cstheme="minorHAnsi"/>
          <w:color w:val="000000" w:themeColor="text1"/>
          <w:lang w:val="en-AU" w:eastAsia="en-AU"/>
        </w:rPr>
        <w:t xml:space="preserve">re nuanced for gender. </w:t>
      </w:r>
    </w:p>
    <w:p w14:paraId="5A4D56A5" w14:textId="77777777" w:rsidR="00835D0A" w:rsidRPr="00876212" w:rsidRDefault="00835D0A" w:rsidP="00835D0A">
      <w:pPr>
        <w:spacing w:after="168" w:line="240" w:lineRule="auto"/>
        <w:ind w:left="720"/>
        <w:textAlignment w:val="baseline"/>
        <w:rPr>
          <w:b/>
          <w:bCs/>
          <w:color w:val="000000" w:themeColor="text1"/>
        </w:rPr>
      </w:pPr>
    </w:p>
    <w:p w14:paraId="17858757" w14:textId="26801ECE" w:rsidR="001D5E3C" w:rsidRPr="00876212" w:rsidRDefault="001D5E3C" w:rsidP="00621AE2">
      <w:pPr>
        <w:rPr>
          <w:b/>
          <w:bCs/>
          <w:color w:val="000000" w:themeColor="text1"/>
        </w:rPr>
      </w:pPr>
      <w:r w:rsidRPr="00876212">
        <w:rPr>
          <w:b/>
          <w:bCs/>
          <w:color w:val="000000" w:themeColor="text1"/>
        </w:rPr>
        <w:t>Resources</w:t>
      </w:r>
      <w:r w:rsidR="00C755C6" w:rsidRPr="00876212">
        <w:rPr>
          <w:b/>
          <w:bCs/>
          <w:color w:val="000000" w:themeColor="text1"/>
        </w:rPr>
        <w:t xml:space="preserve"> – Further Information:</w:t>
      </w:r>
    </w:p>
    <w:p w14:paraId="2311C174" w14:textId="77B5ED7B" w:rsidR="00A3589A" w:rsidRPr="00876212" w:rsidRDefault="00A3589A" w:rsidP="00A3589A">
      <w:pPr>
        <w:rPr>
          <w:rFonts w:cstheme="minorHAnsi"/>
          <w:b/>
          <w:bCs/>
          <w:i/>
          <w:iCs/>
          <w:color w:val="000000" w:themeColor="text1"/>
        </w:rPr>
      </w:pPr>
      <w:bookmarkStart w:id="0" w:name="_Hlk39674768"/>
      <w:r w:rsidRPr="00876212">
        <w:rPr>
          <w:rFonts w:cstheme="minorHAnsi"/>
          <w:i/>
          <w:iCs/>
          <w:color w:val="000000" w:themeColor="text1"/>
        </w:rPr>
        <w:t>economic Security4Women (</w:t>
      </w:r>
      <w:r w:rsidR="00BA7AD9" w:rsidRPr="00876212">
        <w:rPr>
          <w:rFonts w:cstheme="minorHAnsi"/>
          <w:i/>
          <w:iCs/>
          <w:color w:val="000000" w:themeColor="text1"/>
        </w:rPr>
        <w:t>2018</w:t>
      </w:r>
      <w:r w:rsidRPr="00876212">
        <w:rPr>
          <w:rFonts w:cstheme="minorHAnsi"/>
          <w:i/>
          <w:iCs/>
          <w:color w:val="000000" w:themeColor="text1"/>
        </w:rPr>
        <w:t xml:space="preserve">) </w:t>
      </w:r>
      <w:r w:rsidRPr="00876212">
        <w:rPr>
          <w:color w:val="000000" w:themeColor="text1"/>
        </w:rPr>
        <w:t xml:space="preserve">economic Security4Women </w:t>
      </w:r>
      <w:r w:rsidRPr="00876212">
        <w:rPr>
          <w:rFonts w:cstheme="minorHAnsi"/>
          <w:i/>
          <w:iCs/>
          <w:color w:val="000000" w:themeColor="text1"/>
        </w:rPr>
        <w:t>Defining the concept of economic security for women: Policy recommendations to boost women’s economic security</w:t>
      </w:r>
    </w:p>
    <w:p w14:paraId="78A5D4AB" w14:textId="4541181B" w:rsidR="001D5E3C" w:rsidRPr="00876212" w:rsidRDefault="002B4263" w:rsidP="00621AE2">
      <w:pPr>
        <w:rPr>
          <w:color w:val="000000" w:themeColor="text1"/>
        </w:rPr>
      </w:pPr>
      <w:hyperlink r:id="rId8" w:history="1">
        <w:r w:rsidR="00A3589A" w:rsidRPr="00876212">
          <w:rPr>
            <w:rStyle w:val="Hyperlink"/>
            <w:color w:val="000000" w:themeColor="text1"/>
          </w:rPr>
          <w:t>https://www.security4women.org.au/wp-content/uploads/20180625-eS4W_White-Paper_Defining-the-Concept-of-Economic-Security-for-Women.pdf</w:t>
        </w:r>
      </w:hyperlink>
    </w:p>
    <w:p w14:paraId="29BA93D1" w14:textId="5A0DE352" w:rsidR="00A3589A" w:rsidRPr="00876212" w:rsidRDefault="00A3589A" w:rsidP="00A3589A">
      <w:pPr>
        <w:rPr>
          <w:i/>
          <w:iCs/>
          <w:color w:val="000000" w:themeColor="text1"/>
        </w:rPr>
      </w:pPr>
      <w:r w:rsidRPr="00876212">
        <w:rPr>
          <w:rFonts w:cstheme="minorHAnsi"/>
          <w:i/>
          <w:iCs/>
          <w:color w:val="000000" w:themeColor="text1"/>
        </w:rPr>
        <w:t>economic Security4Women (</w:t>
      </w:r>
      <w:r w:rsidRPr="00876212">
        <w:rPr>
          <w:i/>
          <w:iCs/>
          <w:color w:val="000000" w:themeColor="text1"/>
        </w:rPr>
        <w:t>2019) Issues confronting Australian women from culturally diverse backgrounds: Progress to date and what needs to be actioned to address the remaining issues?’ Discussion Paper</w:t>
      </w:r>
    </w:p>
    <w:p w14:paraId="7188E65D" w14:textId="1BF0D427" w:rsidR="00273AED" w:rsidRPr="00876212" w:rsidRDefault="00A3589A" w:rsidP="00621AE2">
      <w:pPr>
        <w:rPr>
          <w:color w:val="000000" w:themeColor="text1"/>
        </w:rPr>
      </w:pPr>
      <w:r w:rsidRPr="00876212">
        <w:rPr>
          <w:color w:val="000000" w:themeColor="text1"/>
        </w:rPr>
        <w:t xml:space="preserve"> </w:t>
      </w:r>
      <w:hyperlink r:id="rId9" w:history="1">
        <w:r w:rsidRPr="00876212">
          <w:rPr>
            <w:rStyle w:val="Hyperlink"/>
            <w:color w:val="000000" w:themeColor="text1"/>
          </w:rPr>
          <w:t>https://www.security4women.org.au/issues-confronting-australian-women-from-culturally-diverse-backgrounds/</w:t>
        </w:r>
      </w:hyperlink>
    </w:p>
    <w:p w14:paraId="3754759F" w14:textId="0CA31E09" w:rsidR="00BA7AD9" w:rsidRPr="00876212" w:rsidRDefault="00BA7AD9" w:rsidP="00BA7AD9">
      <w:pPr>
        <w:rPr>
          <w:i/>
          <w:iCs/>
          <w:color w:val="000000" w:themeColor="text1"/>
        </w:rPr>
      </w:pPr>
      <w:r w:rsidRPr="00876212">
        <w:rPr>
          <w:rFonts w:cstheme="minorHAnsi"/>
          <w:i/>
          <w:iCs/>
          <w:color w:val="000000" w:themeColor="text1"/>
        </w:rPr>
        <w:t>economic Security4Women (</w:t>
      </w:r>
      <w:r w:rsidRPr="00876212">
        <w:rPr>
          <w:i/>
          <w:iCs/>
          <w:color w:val="000000" w:themeColor="text1"/>
        </w:rPr>
        <w:t xml:space="preserve">2018) Superannuation and the </w:t>
      </w:r>
      <w:proofErr w:type="spellStart"/>
      <w:r w:rsidRPr="00876212">
        <w:rPr>
          <w:i/>
          <w:iCs/>
          <w:color w:val="000000" w:themeColor="text1"/>
        </w:rPr>
        <w:t>casualisation</w:t>
      </w:r>
      <w:proofErr w:type="spellEnd"/>
      <w:r w:rsidRPr="00876212">
        <w:rPr>
          <w:i/>
          <w:iCs/>
          <w:color w:val="000000" w:themeColor="text1"/>
        </w:rPr>
        <w:t xml:space="preserve"> of work Discussion Paper</w:t>
      </w:r>
    </w:p>
    <w:p w14:paraId="32CAA05C" w14:textId="135185AF" w:rsidR="00273AED" w:rsidRPr="00876212" w:rsidRDefault="002B4263" w:rsidP="00621AE2">
      <w:pPr>
        <w:rPr>
          <w:color w:val="000000" w:themeColor="text1"/>
        </w:rPr>
      </w:pPr>
      <w:hyperlink r:id="rId10" w:history="1">
        <w:r w:rsidR="00273AED" w:rsidRPr="00876212">
          <w:rPr>
            <w:rStyle w:val="Hyperlink"/>
            <w:color w:val="000000" w:themeColor="text1"/>
          </w:rPr>
          <w:t>https://www.security4women.org.au/superannuation-and-the-casualisation-of-work/</w:t>
        </w:r>
      </w:hyperlink>
    </w:p>
    <w:p w14:paraId="0BA57C1A" w14:textId="5AB7BAC2" w:rsidR="00BA7AD9" w:rsidRPr="00876212" w:rsidRDefault="00BA7AD9" w:rsidP="00BA7AD9">
      <w:pPr>
        <w:rPr>
          <w:i/>
          <w:iCs/>
          <w:color w:val="000000" w:themeColor="text1"/>
        </w:rPr>
      </w:pPr>
      <w:r w:rsidRPr="00876212">
        <w:rPr>
          <w:rFonts w:cstheme="minorHAnsi"/>
          <w:i/>
          <w:iCs/>
          <w:color w:val="000000" w:themeColor="text1"/>
        </w:rPr>
        <w:t>economic Security4Women (</w:t>
      </w:r>
      <w:proofErr w:type="spellStart"/>
      <w:r w:rsidRPr="00876212">
        <w:rPr>
          <w:i/>
          <w:iCs/>
          <w:color w:val="000000" w:themeColor="text1"/>
        </w:rPr>
        <w:t>n.d</w:t>
      </w:r>
      <w:proofErr w:type="spellEnd"/>
      <w:r w:rsidRPr="00876212">
        <w:rPr>
          <w:i/>
          <w:iCs/>
          <w:color w:val="000000" w:themeColor="text1"/>
        </w:rPr>
        <w:t xml:space="preserve">) The role of </w:t>
      </w:r>
      <w:proofErr w:type="spellStart"/>
      <w:r w:rsidRPr="00876212">
        <w:rPr>
          <w:i/>
          <w:iCs/>
          <w:color w:val="000000" w:themeColor="text1"/>
        </w:rPr>
        <w:t>carers</w:t>
      </w:r>
      <w:proofErr w:type="spellEnd"/>
      <w:r w:rsidRPr="00876212">
        <w:rPr>
          <w:i/>
          <w:iCs/>
          <w:color w:val="000000" w:themeColor="text1"/>
        </w:rPr>
        <w:t xml:space="preserve"> and the impact on economic security for women</w:t>
      </w:r>
    </w:p>
    <w:p w14:paraId="39825188" w14:textId="29AD3C10" w:rsidR="00273AED" w:rsidRPr="00876212" w:rsidRDefault="002B4263" w:rsidP="00621AE2">
      <w:pPr>
        <w:rPr>
          <w:color w:val="000000" w:themeColor="text1"/>
        </w:rPr>
      </w:pPr>
      <w:hyperlink r:id="rId11" w:history="1">
        <w:r w:rsidR="00BA7AD9" w:rsidRPr="00876212">
          <w:rPr>
            <w:rStyle w:val="Hyperlink"/>
            <w:color w:val="000000" w:themeColor="text1"/>
          </w:rPr>
          <w:t>https://www.security4women.org.au/the-role-of-carers-and-the-impact-on-economic-security-for-women/</w:t>
        </w:r>
      </w:hyperlink>
    </w:p>
    <w:bookmarkEnd w:id="0"/>
    <w:p w14:paraId="4EF358B2" w14:textId="2CC6D583" w:rsidR="00DB1A2C" w:rsidRPr="00876212" w:rsidRDefault="00621AE2" w:rsidP="00621AE2">
      <w:pPr>
        <w:rPr>
          <w:color w:val="000000" w:themeColor="text1"/>
        </w:rPr>
      </w:pPr>
      <w:r w:rsidRPr="00876212">
        <w:rPr>
          <w:color w:val="000000" w:themeColor="text1"/>
        </w:rPr>
        <w:fldChar w:fldCharType="begin"/>
      </w:r>
      <w:r w:rsidRPr="00876212">
        <w:rPr>
          <w:color w:val="000000" w:themeColor="text1"/>
        </w:rPr>
        <w:instrText xml:space="preserve"> HYPERLINK "https://www.youtube.com/watch?v=mCOtCpOfT24#action=share" </w:instrText>
      </w:r>
      <w:r w:rsidRPr="00876212">
        <w:rPr>
          <w:color w:val="000000" w:themeColor="text1"/>
        </w:rPr>
        <w:fldChar w:fldCharType="separate"/>
      </w:r>
      <w:r w:rsidRPr="00876212">
        <w:rPr>
          <w:rStyle w:val="Hyperlink"/>
          <w:color w:val="000000" w:themeColor="text1"/>
        </w:rPr>
        <w:t>https://www.youtube.com/watch?v=mCOtCpOfT24#action=share</w:t>
      </w:r>
      <w:r w:rsidRPr="00876212">
        <w:rPr>
          <w:color w:val="000000" w:themeColor="text1"/>
        </w:rPr>
        <w:fldChar w:fldCharType="end"/>
      </w:r>
    </w:p>
    <w:p w14:paraId="62F9D682" w14:textId="3C521EA5" w:rsidR="00C755C6" w:rsidRPr="00876212" w:rsidRDefault="00C755C6" w:rsidP="00621AE2">
      <w:pPr>
        <w:rPr>
          <w:color w:val="000000" w:themeColor="text1"/>
        </w:rPr>
      </w:pPr>
      <w:proofErr w:type="spellStart"/>
      <w:r w:rsidRPr="00876212">
        <w:rPr>
          <w:i/>
          <w:iCs/>
          <w:color w:val="000000" w:themeColor="text1"/>
        </w:rPr>
        <w:t>Gen</w:t>
      </w:r>
      <w:r w:rsidR="00A3589A" w:rsidRPr="00876212">
        <w:rPr>
          <w:i/>
          <w:iCs/>
          <w:color w:val="000000" w:themeColor="text1"/>
        </w:rPr>
        <w:t>Vic</w:t>
      </w:r>
      <w:proofErr w:type="spellEnd"/>
      <w:r w:rsidRPr="00876212">
        <w:rPr>
          <w:i/>
          <w:iCs/>
          <w:color w:val="000000" w:themeColor="text1"/>
        </w:rPr>
        <w:t xml:space="preserve"> &amp; Per Capita </w:t>
      </w:r>
      <w:r w:rsidR="00A3589A" w:rsidRPr="00876212">
        <w:rPr>
          <w:i/>
          <w:iCs/>
          <w:color w:val="000000" w:themeColor="text1"/>
        </w:rPr>
        <w:t xml:space="preserve">(2019) </w:t>
      </w:r>
      <w:r w:rsidRPr="00876212">
        <w:rPr>
          <w:i/>
          <w:iCs/>
          <w:color w:val="000000" w:themeColor="text1"/>
        </w:rPr>
        <w:t>‘Back On Track: Gen</w:t>
      </w:r>
      <w:r w:rsidR="00CA0E61" w:rsidRPr="00876212">
        <w:rPr>
          <w:i/>
          <w:iCs/>
          <w:color w:val="000000" w:themeColor="text1"/>
        </w:rPr>
        <w:t>d</w:t>
      </w:r>
      <w:r w:rsidRPr="00876212">
        <w:rPr>
          <w:i/>
          <w:iCs/>
          <w:color w:val="000000" w:themeColor="text1"/>
        </w:rPr>
        <w:t xml:space="preserve">er Responsive Budgeting Submission </w:t>
      </w:r>
      <w:hyperlink r:id="rId12" w:history="1">
        <w:r w:rsidRPr="00876212">
          <w:rPr>
            <w:rStyle w:val="Hyperlink"/>
            <w:color w:val="000000" w:themeColor="text1"/>
          </w:rPr>
          <w:t>https://www.genvic.org.au/wp-content/uploads/2019/12/GEN-VIC-Per-Capita-Gender-Responsive-Budgeting-Submission-2019.pdf</w:t>
        </w:r>
      </w:hyperlink>
    </w:p>
    <w:p w14:paraId="4E45AF15" w14:textId="625A9E3B" w:rsidR="00CE6A74" w:rsidRPr="00876212" w:rsidRDefault="00CE6A74" w:rsidP="00621AE2">
      <w:pPr>
        <w:rPr>
          <w:color w:val="000000" w:themeColor="text1"/>
        </w:rPr>
      </w:pPr>
    </w:p>
    <w:p w14:paraId="497522F6" w14:textId="47C75206" w:rsidR="00CE6A74" w:rsidRPr="00876212" w:rsidRDefault="00CE6A74" w:rsidP="00621AE2">
      <w:pPr>
        <w:rPr>
          <w:b/>
          <w:bCs/>
          <w:color w:val="000000" w:themeColor="text1"/>
        </w:rPr>
      </w:pPr>
      <w:r w:rsidRPr="00876212">
        <w:rPr>
          <w:b/>
          <w:bCs/>
          <w:color w:val="000000" w:themeColor="text1"/>
        </w:rPr>
        <w:t>References</w:t>
      </w:r>
    </w:p>
    <w:p w14:paraId="38D83F9A" w14:textId="77777777" w:rsidR="00CE6A74" w:rsidRPr="00876212" w:rsidRDefault="00CE6A74" w:rsidP="00CE6A74">
      <w:pPr>
        <w:pStyle w:val="FootnoteText"/>
        <w:rPr>
          <w:color w:val="000000" w:themeColor="text1"/>
          <w:lang w:val="en-AU"/>
        </w:rPr>
      </w:pPr>
      <w:r w:rsidRPr="00876212">
        <w:rPr>
          <w:rStyle w:val="FootnoteReference"/>
          <w:color w:val="000000" w:themeColor="text1"/>
        </w:rPr>
        <w:footnoteRef/>
      </w:r>
      <w:r w:rsidRPr="00876212">
        <w:rPr>
          <w:color w:val="000000" w:themeColor="text1"/>
        </w:rPr>
        <w:t xml:space="preserve"> </w:t>
      </w:r>
      <w:hyperlink r:id="rId13" w:history="1">
        <w:r w:rsidRPr="00876212">
          <w:rPr>
            <w:rStyle w:val="Hyperlink"/>
            <w:color w:val="000000" w:themeColor="text1"/>
          </w:rPr>
          <w:t>economic Security4Women (2018) White Paper: Defining the Concept of Economic Security for Women</w:t>
        </w:r>
      </w:hyperlink>
    </w:p>
    <w:p w14:paraId="5B0CB669" w14:textId="768EDC04" w:rsidR="00CE6A74" w:rsidRPr="00876212" w:rsidRDefault="00CE6A74" w:rsidP="00CE6A74">
      <w:pPr>
        <w:pStyle w:val="FootnoteText"/>
        <w:rPr>
          <w:color w:val="000000" w:themeColor="text1"/>
          <w:lang w:val="en-AU"/>
        </w:rPr>
      </w:pPr>
      <w:r w:rsidRPr="00876212">
        <w:rPr>
          <w:rStyle w:val="FootnoteReference"/>
          <w:color w:val="000000" w:themeColor="text1"/>
        </w:rPr>
        <w:t>2</w:t>
      </w:r>
      <w:r w:rsidRPr="00876212">
        <w:rPr>
          <w:color w:val="000000" w:themeColor="text1"/>
        </w:rPr>
        <w:t xml:space="preserve"> </w:t>
      </w:r>
      <w:hyperlink r:id="rId14" w:history="1">
        <w:r w:rsidRPr="00876212">
          <w:rPr>
            <w:rStyle w:val="Hyperlink"/>
            <w:color w:val="000000" w:themeColor="text1"/>
          </w:rPr>
          <w:t>economic Security4Women (2018) White Paper: Defining the Concept of Economic Security for Women</w:t>
        </w:r>
      </w:hyperlink>
    </w:p>
    <w:p w14:paraId="11BEAE38" w14:textId="265D900A" w:rsidR="00CE6A74" w:rsidRPr="00876212" w:rsidRDefault="00CE6A74" w:rsidP="00CE6A74">
      <w:pPr>
        <w:pStyle w:val="FootnoteText"/>
        <w:rPr>
          <w:color w:val="000000" w:themeColor="text1"/>
        </w:rPr>
      </w:pPr>
      <w:r w:rsidRPr="00876212">
        <w:rPr>
          <w:rStyle w:val="FootnoteReference"/>
          <w:color w:val="000000" w:themeColor="text1"/>
        </w:rPr>
        <w:t>3</w:t>
      </w:r>
      <w:r w:rsidRPr="00876212">
        <w:rPr>
          <w:color w:val="000000" w:themeColor="text1"/>
        </w:rPr>
        <w:t xml:space="preserve"> </w:t>
      </w:r>
      <w:hyperlink r:id="rId15" w:history="1">
        <w:r w:rsidRPr="00876212">
          <w:rPr>
            <w:rStyle w:val="Hyperlink"/>
            <w:color w:val="000000" w:themeColor="text1"/>
          </w:rPr>
          <w:t>https://womensagenda.com.au/latest/women-undertake-72-of-all-unpaid-work-in-australia-the-consequences-are-egregious/</w:t>
        </w:r>
      </w:hyperlink>
      <w:r w:rsidRPr="00876212">
        <w:rPr>
          <w:color w:val="000000" w:themeColor="text1"/>
        </w:rPr>
        <w:t xml:space="preserve"> (Accessed 14/5/20) </w:t>
      </w:r>
    </w:p>
    <w:p w14:paraId="5B2E462D" w14:textId="77777777" w:rsidR="00CE6A74" w:rsidRPr="00876212" w:rsidRDefault="00CE6A74" w:rsidP="00CE6A74">
      <w:pPr>
        <w:pStyle w:val="FootnoteText"/>
        <w:rPr>
          <w:rStyle w:val="Hyperlink"/>
          <w:color w:val="000000" w:themeColor="text1"/>
        </w:rPr>
      </w:pPr>
      <w:r w:rsidRPr="00876212">
        <w:rPr>
          <w:rStyle w:val="FootnoteReference"/>
          <w:color w:val="000000" w:themeColor="text1"/>
        </w:rPr>
        <w:t>4</w:t>
      </w:r>
      <w:r w:rsidRPr="00876212">
        <w:rPr>
          <w:color w:val="000000" w:themeColor="text1"/>
        </w:rPr>
        <w:t xml:space="preserve"> </w:t>
      </w:r>
      <w:hyperlink r:id="rId16" w:history="1">
        <w:r w:rsidRPr="00876212">
          <w:rPr>
            <w:rStyle w:val="Hyperlink"/>
            <w:color w:val="000000" w:themeColor="text1"/>
          </w:rPr>
          <w:t>economic Security4Women (2018) White Paper: Defining the Concept of Economic Security for Women</w:t>
        </w:r>
      </w:hyperlink>
    </w:p>
    <w:p w14:paraId="19471028" w14:textId="668542F6" w:rsidR="00CE6A74" w:rsidRPr="00876212" w:rsidRDefault="00CE6A74" w:rsidP="00CE6A74">
      <w:pPr>
        <w:pStyle w:val="FootnoteText"/>
        <w:rPr>
          <w:rStyle w:val="Hyperlink"/>
          <w:color w:val="000000" w:themeColor="text1"/>
        </w:rPr>
      </w:pPr>
      <w:r w:rsidRPr="00876212">
        <w:rPr>
          <w:rStyle w:val="FootnoteReference"/>
          <w:color w:val="000000" w:themeColor="text1"/>
        </w:rPr>
        <w:t>5</w:t>
      </w:r>
      <w:r w:rsidRPr="00876212">
        <w:rPr>
          <w:color w:val="000000" w:themeColor="text1"/>
        </w:rPr>
        <w:t>&amp;</w:t>
      </w:r>
      <w:r w:rsidRPr="00876212">
        <w:rPr>
          <w:rStyle w:val="FootnoteReference"/>
          <w:color w:val="000000" w:themeColor="text1"/>
        </w:rPr>
        <w:t>6</w:t>
      </w:r>
      <w:r w:rsidRPr="00876212">
        <w:rPr>
          <w:color w:val="000000" w:themeColor="text1"/>
        </w:rPr>
        <w:t xml:space="preserve"> </w:t>
      </w:r>
      <w:hyperlink r:id="rId17" w:anchor="report" w:history="1">
        <w:r w:rsidRPr="00876212">
          <w:rPr>
            <w:rStyle w:val="Hyperlink"/>
            <w:color w:val="000000" w:themeColor="text1"/>
          </w:rPr>
          <w:t>Deloitte Access Economics (2018) Modelling the value of unpaid work and care, Department of Health &amp; Human Services</w:t>
        </w:r>
      </w:hyperlink>
    </w:p>
    <w:p w14:paraId="7E32B2B2" w14:textId="732749AF" w:rsidR="00CE6A74" w:rsidRPr="00876212" w:rsidRDefault="00CE6A74" w:rsidP="00CE6A74">
      <w:pPr>
        <w:pStyle w:val="FootnoteText"/>
        <w:rPr>
          <w:color w:val="000000" w:themeColor="text1"/>
        </w:rPr>
      </w:pPr>
      <w:r w:rsidRPr="00876212">
        <w:rPr>
          <w:rStyle w:val="FootnoteReference"/>
          <w:color w:val="000000" w:themeColor="text1"/>
        </w:rPr>
        <w:t>7</w:t>
      </w:r>
      <w:r w:rsidRPr="00876212">
        <w:rPr>
          <w:color w:val="000000" w:themeColor="text1"/>
        </w:rPr>
        <w:t xml:space="preserve"> </w:t>
      </w:r>
      <w:hyperlink r:id="rId18" w:history="1">
        <w:r w:rsidRPr="00876212">
          <w:rPr>
            <w:rStyle w:val="Hyperlink"/>
            <w:color w:val="000000" w:themeColor="text1"/>
          </w:rPr>
          <w:t>https://www.crikey.com.au/2020/04/22/who-are-australias-essential-workers-short-answer-women/</w:t>
        </w:r>
      </w:hyperlink>
      <w:r w:rsidRPr="00876212">
        <w:rPr>
          <w:color w:val="000000" w:themeColor="text1"/>
        </w:rPr>
        <w:t xml:space="preserve"> (Accessed 14/5/20)</w:t>
      </w:r>
    </w:p>
    <w:p w14:paraId="79FE4BC6" w14:textId="77777777" w:rsidR="00CE6A74" w:rsidRPr="00876212" w:rsidRDefault="00CE6A74" w:rsidP="00CE6A74">
      <w:pPr>
        <w:pStyle w:val="FootnoteText"/>
        <w:rPr>
          <w:color w:val="000000" w:themeColor="text1"/>
          <w:lang w:val="en-AU"/>
        </w:rPr>
      </w:pPr>
      <w:r w:rsidRPr="00876212">
        <w:rPr>
          <w:rStyle w:val="FootnoteReference"/>
          <w:color w:val="000000" w:themeColor="text1"/>
        </w:rPr>
        <w:t>8</w:t>
      </w:r>
      <w:r w:rsidRPr="00876212">
        <w:rPr>
          <w:color w:val="000000" w:themeColor="text1"/>
        </w:rPr>
        <w:t xml:space="preserve"> </w:t>
      </w:r>
      <w:hyperlink r:id="rId19" w:history="1">
        <w:r w:rsidRPr="00876212">
          <w:rPr>
            <w:rStyle w:val="Hyperlink"/>
            <w:color w:val="000000" w:themeColor="text1"/>
            <w:lang w:val="en-AU"/>
          </w:rPr>
          <w:t>Coalition for Women’s Economic Empowerment and Equality (2020) COVID-19 and Women’s Economic Empowerment</w:t>
        </w:r>
      </w:hyperlink>
    </w:p>
    <w:p w14:paraId="2166C224" w14:textId="2BADE789" w:rsidR="00CE6A74" w:rsidRPr="00876212" w:rsidRDefault="00CE6A74" w:rsidP="00CE6A74">
      <w:pPr>
        <w:pStyle w:val="FootnoteText"/>
        <w:rPr>
          <w:color w:val="000000" w:themeColor="text1"/>
        </w:rPr>
      </w:pPr>
      <w:r w:rsidRPr="00876212">
        <w:rPr>
          <w:rStyle w:val="FootnoteReference"/>
          <w:color w:val="000000" w:themeColor="text1"/>
        </w:rPr>
        <w:t>9</w:t>
      </w:r>
      <w:r w:rsidRPr="00876212">
        <w:rPr>
          <w:color w:val="000000" w:themeColor="text1"/>
        </w:rPr>
        <w:t xml:space="preserve"> </w:t>
      </w:r>
      <w:hyperlink r:id="rId20" w:history="1">
        <w:r w:rsidRPr="00876212">
          <w:rPr>
            <w:rStyle w:val="Hyperlink"/>
            <w:color w:val="000000" w:themeColor="text1"/>
            <w:lang w:val="en-AU"/>
          </w:rPr>
          <w:t>Coalition for Women’s Economic Empowerment and Equality (2020) COVID-19 and Women’s Economic Empowerment</w:t>
        </w:r>
      </w:hyperlink>
    </w:p>
    <w:p w14:paraId="631507C7" w14:textId="75B1F09A" w:rsidR="00CE6A74" w:rsidRPr="00876212" w:rsidRDefault="00CE6A74" w:rsidP="00621AE2">
      <w:pPr>
        <w:rPr>
          <w:color w:val="000000" w:themeColor="text1"/>
        </w:rPr>
      </w:pPr>
    </w:p>
    <w:p w14:paraId="192BF572" w14:textId="26D76F86" w:rsidR="00835D0A" w:rsidRPr="00876212" w:rsidRDefault="00835D0A" w:rsidP="00621AE2">
      <w:pPr>
        <w:rPr>
          <w:b/>
          <w:bCs/>
          <w:color w:val="000000" w:themeColor="text1"/>
        </w:rPr>
      </w:pPr>
      <w:bookmarkStart w:id="1" w:name="_Hlk43715427"/>
      <w:r w:rsidRPr="00876212">
        <w:rPr>
          <w:b/>
          <w:bCs/>
          <w:color w:val="000000" w:themeColor="text1"/>
        </w:rPr>
        <w:t xml:space="preserve">These fact sheets were made by the Victorian Women’s Health Services and Gender Equity Victoria (GEN VIC). Visit </w:t>
      </w:r>
      <w:hyperlink r:id="rId21" w:history="1">
        <w:r w:rsidRPr="00876212">
          <w:rPr>
            <w:rStyle w:val="Hyperlink"/>
            <w:b/>
            <w:bCs/>
            <w:color w:val="000000" w:themeColor="text1"/>
          </w:rPr>
          <w:t>www.genvic.org.au</w:t>
        </w:r>
      </w:hyperlink>
      <w:r w:rsidRPr="00876212">
        <w:rPr>
          <w:b/>
          <w:bCs/>
          <w:color w:val="000000" w:themeColor="text1"/>
        </w:rPr>
        <w:t>.</w:t>
      </w:r>
    </w:p>
    <w:bookmarkEnd w:id="1"/>
    <w:p w14:paraId="2B7E3D21" w14:textId="77777777" w:rsidR="00835D0A" w:rsidRPr="00876212" w:rsidRDefault="00835D0A" w:rsidP="00621AE2">
      <w:pPr>
        <w:rPr>
          <w:color w:val="000000" w:themeColor="text1"/>
        </w:rPr>
      </w:pPr>
    </w:p>
    <w:p w14:paraId="129553EE" w14:textId="77777777" w:rsidR="00DB1A2C" w:rsidRPr="00876212" w:rsidRDefault="00DB1A2C" w:rsidP="001D5E3C">
      <w:pPr>
        <w:pStyle w:val="ListParagraph"/>
        <w:rPr>
          <w:color w:val="000000" w:themeColor="text1"/>
        </w:rPr>
      </w:pPr>
    </w:p>
    <w:sectPr w:rsidR="00DB1A2C" w:rsidRPr="00876212" w:rsidSect="00835D0A">
      <w:head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443C5" w14:textId="77777777" w:rsidR="002B4263" w:rsidRDefault="002B4263" w:rsidP="002B0A05">
      <w:pPr>
        <w:spacing w:after="0" w:line="240" w:lineRule="auto"/>
      </w:pPr>
      <w:r>
        <w:separator/>
      </w:r>
    </w:p>
  </w:endnote>
  <w:endnote w:type="continuationSeparator" w:id="0">
    <w:p w14:paraId="365019AF" w14:textId="77777777" w:rsidR="002B4263" w:rsidRDefault="002B4263" w:rsidP="002B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6437" w14:textId="77777777" w:rsidR="002B4263" w:rsidRDefault="002B4263" w:rsidP="002B0A05">
      <w:pPr>
        <w:spacing w:after="0" w:line="240" w:lineRule="auto"/>
      </w:pPr>
      <w:r>
        <w:separator/>
      </w:r>
    </w:p>
  </w:footnote>
  <w:footnote w:type="continuationSeparator" w:id="0">
    <w:p w14:paraId="58F47DDB" w14:textId="77777777" w:rsidR="002B4263" w:rsidRDefault="002B4263" w:rsidP="002B0A05">
      <w:pPr>
        <w:spacing w:after="0" w:line="240" w:lineRule="auto"/>
      </w:pPr>
      <w:r>
        <w:continuationSeparator/>
      </w:r>
    </w:p>
  </w:footnote>
  <w:footnote w:id="1">
    <w:p w14:paraId="69345CC9" w14:textId="77777777" w:rsidR="001245CB" w:rsidRDefault="001245CB" w:rsidP="001245CB">
      <w:pPr>
        <w:spacing w:line="240" w:lineRule="auto"/>
      </w:pPr>
      <w:r>
        <w:rPr>
          <w:rStyle w:val="FootnoteReference"/>
        </w:rPr>
        <w:footnoteRef/>
      </w:r>
      <w:r>
        <w:t xml:space="preserve"> </w:t>
      </w:r>
      <w:r w:rsidRPr="00A10CFC">
        <w:rPr>
          <w:sz w:val="20"/>
          <w:szCs w:val="20"/>
        </w:rPr>
        <w:t xml:space="preserve">UN, April 2020, </w:t>
      </w:r>
      <w:r w:rsidRPr="00A10CFC">
        <w:rPr>
          <w:b/>
          <w:sz w:val="20"/>
          <w:szCs w:val="20"/>
        </w:rPr>
        <w:t>Policy brief: the impact of COVID 19 on women</w:t>
      </w:r>
      <w:r>
        <w:rPr>
          <w:b/>
          <w:sz w:val="20"/>
          <w:szCs w:val="20"/>
        </w:rPr>
        <w:t xml:space="preserve"> </w:t>
      </w:r>
      <w:hyperlink r:id="rId1" w:history="1">
        <w:r>
          <w:rPr>
            <w:rStyle w:val="Hyperlink"/>
            <w:sz w:val="20"/>
            <w:szCs w:val="20"/>
          </w:rPr>
          <w:t>https://www.unwomen.org/-/media/headquarters/attachments/sections/library/publications/2020/policy-brief-the-impact-of-covid-19-on-women-en.pdf?la=en&amp;vs=1406</w:t>
        </w:r>
      </w:hyperlink>
      <w:r>
        <w:rPr>
          <w:sz w:val="20"/>
          <w:szCs w:val="20"/>
        </w:rPr>
        <w:t xml:space="preserve"> </w:t>
      </w:r>
    </w:p>
  </w:footnote>
  <w:footnote w:id="2">
    <w:p w14:paraId="1F95ABC5" w14:textId="77777777" w:rsidR="00ED581E" w:rsidRDefault="00ED581E" w:rsidP="00ED581E">
      <w:pPr>
        <w:pStyle w:val="FootnoteText"/>
      </w:pPr>
      <w:r>
        <w:rPr>
          <w:rStyle w:val="FootnoteReference"/>
        </w:rPr>
        <w:footnoteRef/>
      </w:r>
      <w:r>
        <w:t xml:space="preserve"> See - </w:t>
      </w:r>
      <w:hyperlink r:id="rId2" w:history="1">
        <w:r>
          <w:rPr>
            <w:rStyle w:val="Hyperlink"/>
          </w:rPr>
          <w:t>https://www.genvic.org.au/focus-areas/advocacy/gen-vic-campaigns/gender-equity-womens-organisations-unite-on-covid19-disaster/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6027" w14:textId="137A335D" w:rsidR="00835D0A" w:rsidRDefault="00835D0A">
    <w:pPr>
      <w:pStyle w:val="Header"/>
    </w:pPr>
    <w:bookmarkStart w:id="2" w:name="_Hlk43715353"/>
    <w:r>
      <w:rPr>
        <w:noProof/>
      </w:rPr>
      <w:drawing>
        <wp:inline distT="0" distB="0" distL="0" distR="0" wp14:anchorId="396BEAFA" wp14:editId="4DA2B69F">
          <wp:extent cx="851347"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391" cy="586703"/>
                  </a:xfrm>
                  <a:prstGeom prst="rect">
                    <a:avLst/>
                  </a:prstGeom>
                  <a:noFill/>
                  <a:ln>
                    <a:noFill/>
                  </a:ln>
                </pic:spPr>
              </pic:pic>
            </a:graphicData>
          </a:graphic>
        </wp:inline>
      </w:drawing>
    </w:r>
  </w:p>
  <w:bookmarkEnd w:id="2"/>
  <w:p w14:paraId="52112D42" w14:textId="77777777" w:rsidR="00835D0A" w:rsidRDefault="0083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12A59"/>
    <w:multiLevelType w:val="multilevel"/>
    <w:tmpl w:val="8F3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52938"/>
    <w:multiLevelType w:val="hybridMultilevel"/>
    <w:tmpl w:val="6F42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54AF9"/>
    <w:multiLevelType w:val="multilevel"/>
    <w:tmpl w:val="DD3E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02D82"/>
    <w:multiLevelType w:val="multilevel"/>
    <w:tmpl w:val="14A6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73005"/>
    <w:multiLevelType w:val="hybridMultilevel"/>
    <w:tmpl w:val="5684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A26A1"/>
    <w:multiLevelType w:val="hybridMultilevel"/>
    <w:tmpl w:val="DC9E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E1C7D"/>
    <w:multiLevelType w:val="hybridMultilevel"/>
    <w:tmpl w:val="54860F54"/>
    <w:lvl w:ilvl="0" w:tplc="876481DC">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F8301D"/>
    <w:multiLevelType w:val="multilevel"/>
    <w:tmpl w:val="F44C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35471"/>
    <w:multiLevelType w:val="multilevel"/>
    <w:tmpl w:val="5F66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40508"/>
    <w:multiLevelType w:val="multilevel"/>
    <w:tmpl w:val="F44C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1D6E28"/>
    <w:multiLevelType w:val="multilevel"/>
    <w:tmpl w:val="A860074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A33372"/>
    <w:multiLevelType w:val="hybridMultilevel"/>
    <w:tmpl w:val="D8048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56762"/>
    <w:multiLevelType w:val="multilevel"/>
    <w:tmpl w:val="EF22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E70B9"/>
    <w:multiLevelType w:val="hybridMultilevel"/>
    <w:tmpl w:val="FCCE1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2"/>
  </w:num>
  <w:num w:numId="5">
    <w:abstractNumId w:val="2"/>
  </w:num>
  <w:num w:numId="6">
    <w:abstractNumId w:val="8"/>
  </w:num>
  <w:num w:numId="7">
    <w:abstractNumId w:val="3"/>
  </w:num>
  <w:num w:numId="8">
    <w:abstractNumId w:val="0"/>
  </w:num>
  <w:num w:numId="9">
    <w:abstractNumId w:val="4"/>
  </w:num>
  <w:num w:numId="10">
    <w:abstractNumId w:val="9"/>
  </w:num>
  <w:num w:numId="11">
    <w:abstractNumId w:val="13"/>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A6"/>
    <w:rsid w:val="00020992"/>
    <w:rsid w:val="000250DE"/>
    <w:rsid w:val="00061FDF"/>
    <w:rsid w:val="00061FE0"/>
    <w:rsid w:val="000E4F57"/>
    <w:rsid w:val="001206EF"/>
    <w:rsid w:val="001245CB"/>
    <w:rsid w:val="00126E4F"/>
    <w:rsid w:val="00141499"/>
    <w:rsid w:val="0014459B"/>
    <w:rsid w:val="0015740F"/>
    <w:rsid w:val="00171124"/>
    <w:rsid w:val="001749C0"/>
    <w:rsid w:val="00175922"/>
    <w:rsid w:val="001B6879"/>
    <w:rsid w:val="001D5E3C"/>
    <w:rsid w:val="00201DB4"/>
    <w:rsid w:val="0024757B"/>
    <w:rsid w:val="00273AED"/>
    <w:rsid w:val="002B0426"/>
    <w:rsid w:val="002B0A05"/>
    <w:rsid w:val="002B4263"/>
    <w:rsid w:val="002B6D04"/>
    <w:rsid w:val="00301094"/>
    <w:rsid w:val="00333568"/>
    <w:rsid w:val="00366E09"/>
    <w:rsid w:val="003B718B"/>
    <w:rsid w:val="003D192E"/>
    <w:rsid w:val="00412CB5"/>
    <w:rsid w:val="0045733C"/>
    <w:rsid w:val="004656D4"/>
    <w:rsid w:val="00517D7E"/>
    <w:rsid w:val="005838F5"/>
    <w:rsid w:val="005A3F0F"/>
    <w:rsid w:val="005B0EF5"/>
    <w:rsid w:val="005C3AE7"/>
    <w:rsid w:val="006001C8"/>
    <w:rsid w:val="00611627"/>
    <w:rsid w:val="00621AE2"/>
    <w:rsid w:val="006351D5"/>
    <w:rsid w:val="00657912"/>
    <w:rsid w:val="00725788"/>
    <w:rsid w:val="00770925"/>
    <w:rsid w:val="00781E43"/>
    <w:rsid w:val="00787B47"/>
    <w:rsid w:val="00791F93"/>
    <w:rsid w:val="00835D0A"/>
    <w:rsid w:val="008478B4"/>
    <w:rsid w:val="00871EF4"/>
    <w:rsid w:val="00876212"/>
    <w:rsid w:val="008911B4"/>
    <w:rsid w:val="008C41BF"/>
    <w:rsid w:val="00900D76"/>
    <w:rsid w:val="00951E06"/>
    <w:rsid w:val="00965076"/>
    <w:rsid w:val="009C0C1A"/>
    <w:rsid w:val="009E205D"/>
    <w:rsid w:val="00A16A1A"/>
    <w:rsid w:val="00A16CA6"/>
    <w:rsid w:val="00A33888"/>
    <w:rsid w:val="00A3388D"/>
    <w:rsid w:val="00A3589A"/>
    <w:rsid w:val="00A370CD"/>
    <w:rsid w:val="00A54DFB"/>
    <w:rsid w:val="00B34950"/>
    <w:rsid w:val="00B4510A"/>
    <w:rsid w:val="00B5610A"/>
    <w:rsid w:val="00B71FF2"/>
    <w:rsid w:val="00BA2423"/>
    <w:rsid w:val="00BA7AD9"/>
    <w:rsid w:val="00BD4F96"/>
    <w:rsid w:val="00C15692"/>
    <w:rsid w:val="00C46DA1"/>
    <w:rsid w:val="00C71F40"/>
    <w:rsid w:val="00C755C6"/>
    <w:rsid w:val="00CA0E61"/>
    <w:rsid w:val="00CA640D"/>
    <w:rsid w:val="00CE6A74"/>
    <w:rsid w:val="00CF701B"/>
    <w:rsid w:val="00D04028"/>
    <w:rsid w:val="00D16D79"/>
    <w:rsid w:val="00D17170"/>
    <w:rsid w:val="00D33C26"/>
    <w:rsid w:val="00D36B3B"/>
    <w:rsid w:val="00DB1A2C"/>
    <w:rsid w:val="00DB1E34"/>
    <w:rsid w:val="00E27E57"/>
    <w:rsid w:val="00ED581E"/>
    <w:rsid w:val="00EE451A"/>
    <w:rsid w:val="00EF47C6"/>
    <w:rsid w:val="00F30D4F"/>
    <w:rsid w:val="00F34065"/>
    <w:rsid w:val="00FB6017"/>
    <w:rsid w:val="00FD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20A62"/>
  <w15:chartTrackingRefBased/>
  <w15:docId w15:val="{A57A9E25-D204-4381-BAA8-4E895534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8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4028"/>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2B6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3C"/>
    <w:pPr>
      <w:ind w:left="720"/>
      <w:contextualSpacing/>
    </w:pPr>
  </w:style>
  <w:style w:type="paragraph" w:styleId="NormalWeb">
    <w:name w:val="Normal (Web)"/>
    <w:basedOn w:val="Normal"/>
    <w:uiPriority w:val="99"/>
    <w:unhideWhenUsed/>
    <w:rsid w:val="00C1569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DB1A2C"/>
    <w:rPr>
      <w:color w:val="0563C1" w:themeColor="hyperlink"/>
      <w:u w:val="single"/>
    </w:rPr>
  </w:style>
  <w:style w:type="character" w:styleId="UnresolvedMention">
    <w:name w:val="Unresolved Mention"/>
    <w:basedOn w:val="DefaultParagraphFont"/>
    <w:uiPriority w:val="99"/>
    <w:semiHidden/>
    <w:unhideWhenUsed/>
    <w:rsid w:val="00DB1A2C"/>
    <w:rPr>
      <w:color w:val="605E5C"/>
      <w:shd w:val="clear" w:color="auto" w:fill="E1DFDD"/>
    </w:rPr>
  </w:style>
  <w:style w:type="paragraph" w:styleId="FootnoteText">
    <w:name w:val="footnote text"/>
    <w:basedOn w:val="Normal"/>
    <w:link w:val="FootnoteTextChar"/>
    <w:uiPriority w:val="99"/>
    <w:unhideWhenUsed/>
    <w:rsid w:val="002B0A05"/>
    <w:pPr>
      <w:spacing w:after="0" w:line="240" w:lineRule="auto"/>
    </w:pPr>
    <w:rPr>
      <w:sz w:val="20"/>
      <w:szCs w:val="20"/>
    </w:rPr>
  </w:style>
  <w:style w:type="character" w:customStyle="1" w:styleId="FootnoteTextChar">
    <w:name w:val="Footnote Text Char"/>
    <w:basedOn w:val="DefaultParagraphFont"/>
    <w:link w:val="FootnoteText"/>
    <w:uiPriority w:val="99"/>
    <w:rsid w:val="002B0A05"/>
    <w:rPr>
      <w:sz w:val="20"/>
      <w:szCs w:val="20"/>
    </w:rPr>
  </w:style>
  <w:style w:type="character" w:styleId="FootnoteReference">
    <w:name w:val="footnote reference"/>
    <w:basedOn w:val="DefaultParagraphFont"/>
    <w:uiPriority w:val="99"/>
    <w:semiHidden/>
    <w:unhideWhenUsed/>
    <w:rsid w:val="002B0A05"/>
    <w:rPr>
      <w:vertAlign w:val="superscript"/>
    </w:rPr>
  </w:style>
  <w:style w:type="character" w:styleId="FollowedHyperlink">
    <w:name w:val="FollowedHyperlink"/>
    <w:basedOn w:val="DefaultParagraphFont"/>
    <w:uiPriority w:val="99"/>
    <w:semiHidden/>
    <w:unhideWhenUsed/>
    <w:rsid w:val="00061FE0"/>
    <w:rPr>
      <w:color w:val="954F72" w:themeColor="followedHyperlink"/>
      <w:u w:val="single"/>
    </w:rPr>
  </w:style>
  <w:style w:type="character" w:customStyle="1" w:styleId="Heading2Char">
    <w:name w:val="Heading 2 Char"/>
    <w:basedOn w:val="DefaultParagraphFont"/>
    <w:link w:val="Heading2"/>
    <w:uiPriority w:val="9"/>
    <w:rsid w:val="00D04028"/>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semiHidden/>
    <w:rsid w:val="002B6D0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1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ED"/>
    <w:rPr>
      <w:rFonts w:ascii="Segoe UI" w:hAnsi="Segoe UI" w:cs="Segoe UI"/>
      <w:sz w:val="18"/>
      <w:szCs w:val="18"/>
    </w:rPr>
  </w:style>
  <w:style w:type="character" w:customStyle="1" w:styleId="Heading1Char">
    <w:name w:val="Heading 1 Char"/>
    <w:basedOn w:val="DefaultParagraphFont"/>
    <w:link w:val="Heading1"/>
    <w:uiPriority w:val="9"/>
    <w:rsid w:val="00A3589A"/>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366E09"/>
    <w:rPr>
      <w:i/>
      <w:iCs/>
      <w:color w:val="4472C4" w:themeColor="accent1"/>
    </w:rPr>
  </w:style>
  <w:style w:type="paragraph" w:styleId="Header">
    <w:name w:val="header"/>
    <w:basedOn w:val="Normal"/>
    <w:link w:val="HeaderChar"/>
    <w:uiPriority w:val="99"/>
    <w:unhideWhenUsed/>
    <w:rsid w:val="0083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D0A"/>
  </w:style>
  <w:style w:type="paragraph" w:styleId="Footer">
    <w:name w:val="footer"/>
    <w:basedOn w:val="Normal"/>
    <w:link w:val="FooterChar"/>
    <w:uiPriority w:val="99"/>
    <w:unhideWhenUsed/>
    <w:rsid w:val="0083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02730">
      <w:bodyDiv w:val="1"/>
      <w:marLeft w:val="0"/>
      <w:marRight w:val="0"/>
      <w:marTop w:val="0"/>
      <w:marBottom w:val="0"/>
      <w:divBdr>
        <w:top w:val="none" w:sz="0" w:space="0" w:color="auto"/>
        <w:left w:val="none" w:sz="0" w:space="0" w:color="auto"/>
        <w:bottom w:val="none" w:sz="0" w:space="0" w:color="auto"/>
        <w:right w:val="none" w:sz="0" w:space="0" w:color="auto"/>
      </w:divBdr>
    </w:div>
    <w:div w:id="658658469">
      <w:bodyDiv w:val="1"/>
      <w:marLeft w:val="0"/>
      <w:marRight w:val="0"/>
      <w:marTop w:val="0"/>
      <w:marBottom w:val="0"/>
      <w:divBdr>
        <w:top w:val="none" w:sz="0" w:space="0" w:color="auto"/>
        <w:left w:val="none" w:sz="0" w:space="0" w:color="auto"/>
        <w:bottom w:val="none" w:sz="0" w:space="0" w:color="auto"/>
        <w:right w:val="none" w:sz="0" w:space="0" w:color="auto"/>
      </w:divBdr>
    </w:div>
    <w:div w:id="1003240110">
      <w:bodyDiv w:val="1"/>
      <w:marLeft w:val="0"/>
      <w:marRight w:val="0"/>
      <w:marTop w:val="0"/>
      <w:marBottom w:val="0"/>
      <w:divBdr>
        <w:top w:val="none" w:sz="0" w:space="0" w:color="auto"/>
        <w:left w:val="none" w:sz="0" w:space="0" w:color="auto"/>
        <w:bottom w:val="none" w:sz="0" w:space="0" w:color="auto"/>
        <w:right w:val="none" w:sz="0" w:space="0" w:color="auto"/>
      </w:divBdr>
      <w:divsChild>
        <w:div w:id="2045011536">
          <w:marLeft w:val="0"/>
          <w:marRight w:val="0"/>
          <w:marTop w:val="0"/>
          <w:marBottom w:val="0"/>
          <w:divBdr>
            <w:top w:val="none" w:sz="0" w:space="0" w:color="auto"/>
            <w:left w:val="none" w:sz="0" w:space="0" w:color="auto"/>
            <w:bottom w:val="none" w:sz="0" w:space="0" w:color="auto"/>
            <w:right w:val="none" w:sz="0" w:space="0" w:color="auto"/>
          </w:divBdr>
          <w:divsChild>
            <w:div w:id="298001347">
              <w:marLeft w:val="0"/>
              <w:marRight w:val="0"/>
              <w:marTop w:val="0"/>
              <w:marBottom w:val="0"/>
              <w:divBdr>
                <w:top w:val="none" w:sz="0" w:space="0" w:color="auto"/>
                <w:left w:val="none" w:sz="0" w:space="0" w:color="auto"/>
                <w:bottom w:val="none" w:sz="0" w:space="0" w:color="auto"/>
                <w:right w:val="none" w:sz="0" w:space="0" w:color="auto"/>
              </w:divBdr>
              <w:divsChild>
                <w:div w:id="246153884">
                  <w:marLeft w:val="0"/>
                  <w:marRight w:val="0"/>
                  <w:marTop w:val="0"/>
                  <w:marBottom w:val="0"/>
                  <w:divBdr>
                    <w:top w:val="none" w:sz="0" w:space="0" w:color="auto"/>
                    <w:left w:val="none" w:sz="0" w:space="0" w:color="auto"/>
                    <w:bottom w:val="none" w:sz="0" w:space="0" w:color="auto"/>
                    <w:right w:val="none" w:sz="0" w:space="0" w:color="auto"/>
                  </w:divBdr>
                  <w:divsChild>
                    <w:div w:id="868222900">
                      <w:marLeft w:val="0"/>
                      <w:marRight w:val="0"/>
                      <w:marTop w:val="0"/>
                      <w:marBottom w:val="0"/>
                      <w:divBdr>
                        <w:top w:val="none" w:sz="0" w:space="0" w:color="auto"/>
                        <w:left w:val="none" w:sz="0" w:space="0" w:color="auto"/>
                        <w:bottom w:val="none" w:sz="0" w:space="0" w:color="auto"/>
                        <w:right w:val="none" w:sz="0" w:space="0" w:color="auto"/>
                      </w:divBdr>
                      <w:divsChild>
                        <w:div w:id="2061588391">
                          <w:marLeft w:val="0"/>
                          <w:marRight w:val="0"/>
                          <w:marTop w:val="0"/>
                          <w:marBottom w:val="0"/>
                          <w:divBdr>
                            <w:top w:val="none" w:sz="0" w:space="0" w:color="auto"/>
                            <w:left w:val="none" w:sz="0" w:space="0" w:color="auto"/>
                            <w:bottom w:val="none" w:sz="0" w:space="0" w:color="auto"/>
                            <w:right w:val="none" w:sz="0" w:space="0" w:color="auto"/>
                          </w:divBdr>
                          <w:divsChild>
                            <w:div w:id="1225677096">
                              <w:marLeft w:val="0"/>
                              <w:marRight w:val="0"/>
                              <w:marTop w:val="0"/>
                              <w:marBottom w:val="0"/>
                              <w:divBdr>
                                <w:top w:val="none" w:sz="0" w:space="0" w:color="auto"/>
                                <w:left w:val="none" w:sz="0" w:space="0" w:color="auto"/>
                                <w:bottom w:val="none" w:sz="0" w:space="0" w:color="auto"/>
                                <w:right w:val="none" w:sz="0" w:space="0" w:color="auto"/>
                              </w:divBdr>
                              <w:divsChild>
                                <w:div w:id="568078074">
                                  <w:marLeft w:val="0"/>
                                  <w:marRight w:val="0"/>
                                  <w:marTop w:val="0"/>
                                  <w:marBottom w:val="0"/>
                                  <w:divBdr>
                                    <w:top w:val="none" w:sz="0" w:space="0" w:color="auto"/>
                                    <w:left w:val="none" w:sz="0" w:space="0" w:color="auto"/>
                                    <w:bottom w:val="none" w:sz="0" w:space="0" w:color="auto"/>
                                    <w:right w:val="none" w:sz="0" w:space="0" w:color="auto"/>
                                  </w:divBdr>
                                  <w:divsChild>
                                    <w:div w:id="743576271">
                                      <w:marLeft w:val="0"/>
                                      <w:marRight w:val="0"/>
                                      <w:marTop w:val="0"/>
                                      <w:marBottom w:val="0"/>
                                      <w:divBdr>
                                        <w:top w:val="none" w:sz="0" w:space="0" w:color="auto"/>
                                        <w:left w:val="none" w:sz="0" w:space="0" w:color="auto"/>
                                        <w:bottom w:val="none" w:sz="0" w:space="0" w:color="auto"/>
                                        <w:right w:val="none" w:sz="0" w:space="0" w:color="auto"/>
                                      </w:divBdr>
                                      <w:divsChild>
                                        <w:div w:id="357703390">
                                          <w:marLeft w:val="0"/>
                                          <w:marRight w:val="0"/>
                                          <w:marTop w:val="0"/>
                                          <w:marBottom w:val="0"/>
                                          <w:divBdr>
                                            <w:top w:val="none" w:sz="0" w:space="0" w:color="auto"/>
                                            <w:left w:val="none" w:sz="0" w:space="0" w:color="auto"/>
                                            <w:bottom w:val="none" w:sz="0" w:space="0" w:color="auto"/>
                                            <w:right w:val="none" w:sz="0" w:space="0" w:color="auto"/>
                                          </w:divBdr>
                                          <w:divsChild>
                                            <w:div w:id="769816718">
                                              <w:marLeft w:val="0"/>
                                              <w:marRight w:val="0"/>
                                              <w:marTop w:val="0"/>
                                              <w:marBottom w:val="0"/>
                                              <w:divBdr>
                                                <w:top w:val="none" w:sz="0" w:space="0" w:color="auto"/>
                                                <w:left w:val="none" w:sz="0" w:space="0" w:color="auto"/>
                                                <w:bottom w:val="none" w:sz="0" w:space="0" w:color="auto"/>
                                                <w:right w:val="none" w:sz="0" w:space="0" w:color="auto"/>
                                              </w:divBdr>
                                              <w:divsChild>
                                                <w:div w:id="382171889">
                                                  <w:marLeft w:val="0"/>
                                                  <w:marRight w:val="0"/>
                                                  <w:marTop w:val="0"/>
                                                  <w:marBottom w:val="0"/>
                                                  <w:divBdr>
                                                    <w:top w:val="none" w:sz="0" w:space="0" w:color="auto"/>
                                                    <w:left w:val="none" w:sz="0" w:space="0" w:color="auto"/>
                                                    <w:bottom w:val="none" w:sz="0" w:space="0" w:color="auto"/>
                                                    <w:right w:val="none" w:sz="0" w:space="0" w:color="auto"/>
                                                  </w:divBdr>
                                                  <w:divsChild>
                                                    <w:div w:id="18759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352595">
      <w:bodyDiv w:val="1"/>
      <w:marLeft w:val="0"/>
      <w:marRight w:val="0"/>
      <w:marTop w:val="0"/>
      <w:marBottom w:val="0"/>
      <w:divBdr>
        <w:top w:val="none" w:sz="0" w:space="0" w:color="auto"/>
        <w:left w:val="none" w:sz="0" w:space="0" w:color="auto"/>
        <w:bottom w:val="none" w:sz="0" w:space="0" w:color="auto"/>
        <w:right w:val="none" w:sz="0" w:space="0" w:color="auto"/>
      </w:divBdr>
    </w:div>
    <w:div w:id="1386223169">
      <w:bodyDiv w:val="1"/>
      <w:marLeft w:val="0"/>
      <w:marRight w:val="0"/>
      <w:marTop w:val="0"/>
      <w:marBottom w:val="0"/>
      <w:divBdr>
        <w:top w:val="none" w:sz="0" w:space="0" w:color="auto"/>
        <w:left w:val="none" w:sz="0" w:space="0" w:color="auto"/>
        <w:bottom w:val="none" w:sz="0" w:space="0" w:color="auto"/>
        <w:right w:val="none" w:sz="0" w:space="0" w:color="auto"/>
      </w:divBdr>
    </w:div>
    <w:div w:id="1393039177">
      <w:bodyDiv w:val="1"/>
      <w:marLeft w:val="0"/>
      <w:marRight w:val="0"/>
      <w:marTop w:val="0"/>
      <w:marBottom w:val="0"/>
      <w:divBdr>
        <w:top w:val="none" w:sz="0" w:space="0" w:color="auto"/>
        <w:left w:val="none" w:sz="0" w:space="0" w:color="auto"/>
        <w:bottom w:val="none" w:sz="0" w:space="0" w:color="auto"/>
        <w:right w:val="none" w:sz="0" w:space="0" w:color="auto"/>
      </w:divBdr>
    </w:div>
    <w:div w:id="1497378605">
      <w:bodyDiv w:val="1"/>
      <w:marLeft w:val="0"/>
      <w:marRight w:val="0"/>
      <w:marTop w:val="0"/>
      <w:marBottom w:val="0"/>
      <w:divBdr>
        <w:top w:val="none" w:sz="0" w:space="0" w:color="auto"/>
        <w:left w:val="none" w:sz="0" w:space="0" w:color="auto"/>
        <w:bottom w:val="none" w:sz="0" w:space="0" w:color="auto"/>
        <w:right w:val="none" w:sz="0" w:space="0" w:color="auto"/>
      </w:divBdr>
      <w:divsChild>
        <w:div w:id="276446291">
          <w:marLeft w:val="0"/>
          <w:marRight w:val="0"/>
          <w:marTop w:val="0"/>
          <w:marBottom w:val="0"/>
          <w:divBdr>
            <w:top w:val="none" w:sz="0" w:space="0" w:color="auto"/>
            <w:left w:val="none" w:sz="0" w:space="0" w:color="auto"/>
            <w:bottom w:val="none" w:sz="0" w:space="0" w:color="auto"/>
            <w:right w:val="none" w:sz="0" w:space="0" w:color="auto"/>
          </w:divBdr>
        </w:div>
      </w:divsChild>
    </w:div>
    <w:div w:id="1504511984">
      <w:bodyDiv w:val="1"/>
      <w:marLeft w:val="0"/>
      <w:marRight w:val="0"/>
      <w:marTop w:val="0"/>
      <w:marBottom w:val="0"/>
      <w:divBdr>
        <w:top w:val="none" w:sz="0" w:space="0" w:color="auto"/>
        <w:left w:val="none" w:sz="0" w:space="0" w:color="auto"/>
        <w:bottom w:val="none" w:sz="0" w:space="0" w:color="auto"/>
        <w:right w:val="none" w:sz="0" w:space="0" w:color="auto"/>
      </w:divBdr>
      <w:divsChild>
        <w:div w:id="1002852840">
          <w:marLeft w:val="0"/>
          <w:marRight w:val="0"/>
          <w:marTop w:val="0"/>
          <w:marBottom w:val="0"/>
          <w:divBdr>
            <w:top w:val="none" w:sz="0" w:space="0" w:color="auto"/>
            <w:left w:val="none" w:sz="0" w:space="0" w:color="auto"/>
            <w:bottom w:val="none" w:sz="0" w:space="0" w:color="auto"/>
            <w:right w:val="none" w:sz="0" w:space="0" w:color="auto"/>
          </w:divBdr>
        </w:div>
      </w:divsChild>
    </w:div>
    <w:div w:id="17072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urity4women.org.au/wp-content/uploads/20180625-eS4W_White-Paper_Defining-the-Concept-of-Economic-Security-for-Women.pdf" TargetMode="External"/><Relationship Id="rId13" Type="http://schemas.openxmlformats.org/officeDocument/2006/relationships/hyperlink" Target="https://www.security4women.org.au/boosting-womens-economic-security/economic-security-defined-for-all-women/" TargetMode="External"/><Relationship Id="rId18" Type="http://schemas.openxmlformats.org/officeDocument/2006/relationships/hyperlink" Target="https://www.crikey.com.au/2020/04/22/who-are-australias-essential-workers-short-answer-women/" TargetMode="External"/><Relationship Id="rId3" Type="http://schemas.openxmlformats.org/officeDocument/2006/relationships/styles" Target="styles.xml"/><Relationship Id="rId21" Type="http://schemas.openxmlformats.org/officeDocument/2006/relationships/hyperlink" Target="http://www.genvic.org.au" TargetMode="External"/><Relationship Id="rId7" Type="http://schemas.openxmlformats.org/officeDocument/2006/relationships/endnotes" Target="endnotes.xml"/><Relationship Id="rId12" Type="http://schemas.openxmlformats.org/officeDocument/2006/relationships/hyperlink" Target="https://www.genvic.org.au/wp-content/uploads/2019/12/GEN-VIC-Per-Capita-Gender-Responsive-Budgeting-Submission-2019.pdf" TargetMode="External"/><Relationship Id="rId17" Type="http://schemas.openxmlformats.org/officeDocument/2006/relationships/hyperlink" Target="https://www.abc.net.au/news/2019-07-08/value-of-unpaid-work-to-the-economy/11282840" TargetMode="External"/><Relationship Id="rId2" Type="http://schemas.openxmlformats.org/officeDocument/2006/relationships/numbering" Target="numbering.xml"/><Relationship Id="rId16" Type="http://schemas.openxmlformats.org/officeDocument/2006/relationships/hyperlink" Target="https://www.security4women.org.au/boosting-womens-economic-security/economic-security-defined-for-all-women/" TargetMode="External"/><Relationship Id="rId20" Type="http://schemas.openxmlformats.org/officeDocument/2006/relationships/hyperlink" Target="https://n2r4h9b5.stackpathcdn.com/wp-content/uploads/2020/04/cweee_covid_and_wee_brief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urity4women.org.au/the-role-of-carers-and-the-impact-on-economic-security-for-wom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omensagenda.com.au/latest/women-undertake-72-of-all-unpaid-work-in-australia-the-consequences-are-egregious/" TargetMode="External"/><Relationship Id="rId23" Type="http://schemas.openxmlformats.org/officeDocument/2006/relationships/fontTable" Target="fontTable.xml"/><Relationship Id="rId10" Type="http://schemas.openxmlformats.org/officeDocument/2006/relationships/hyperlink" Target="https://www.security4women.org.au/superannuation-and-the-casualisation-of-work/" TargetMode="External"/><Relationship Id="rId19" Type="http://schemas.openxmlformats.org/officeDocument/2006/relationships/hyperlink" Target="https://n2r4h9b5.stackpathcdn.com/wp-content/uploads/2020/04/cweee_covid_and_wee_brief_final.pdf" TargetMode="External"/><Relationship Id="rId4" Type="http://schemas.openxmlformats.org/officeDocument/2006/relationships/settings" Target="settings.xml"/><Relationship Id="rId9" Type="http://schemas.openxmlformats.org/officeDocument/2006/relationships/hyperlink" Target="https://www.security4women.org.au/issues-confronting-australian-women-from-culturally-diverse-backgrounds/" TargetMode="External"/><Relationship Id="rId14" Type="http://schemas.openxmlformats.org/officeDocument/2006/relationships/hyperlink" Target="https://www.security4women.org.au/boosting-womens-economic-security/economic-security-defined-for-all-women/"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envic.org.au/focus-areas/advocacy/gen-vic-campaigns/gender-equity-womens-organisations-unite-on-covid19-disaster/" TargetMode="External"/><Relationship Id="rId1" Type="http://schemas.openxmlformats.org/officeDocument/2006/relationships/hyperlink" Target="https://www.unwomen.org/-/media/headquarters/attachments/sections/library/publications/2020/policy-brief-the-impact-of-covid-19-on-women-en.pdf?la=en&amp;vs=14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1CF8A-7EFC-4668-9BAB-6C29A71B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Thompson</dc:creator>
  <cp:keywords/>
  <dc:description/>
  <cp:lastModifiedBy>Katie McKee</cp:lastModifiedBy>
  <cp:revision>2</cp:revision>
  <cp:lastPrinted>2020-05-14T02:55:00Z</cp:lastPrinted>
  <dcterms:created xsi:type="dcterms:W3CDTF">2020-06-22T01:29:00Z</dcterms:created>
  <dcterms:modified xsi:type="dcterms:W3CDTF">2020-06-22T01:29:00Z</dcterms:modified>
</cp:coreProperties>
</file>